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0324" w:rsidRDefault="00615D43">
      <w:pPr>
        <w:pStyle w:val="Title"/>
      </w:pPr>
      <w:r>
        <w:rPr>
          <w:sz w:val="32"/>
        </w:rPr>
        <w:t>Weld County School District RE-1</w:t>
      </w:r>
      <w:r>
        <w:rPr>
          <w:sz w:val="32"/>
        </w:rPr>
        <w:t xml:space="preserve">    </w:t>
      </w:r>
      <w:r>
        <w:rPr>
          <w:i/>
          <w:sz w:val="28"/>
        </w:rPr>
        <w:t>Unit/Weekly Planning Template</w:t>
      </w:r>
    </w:p>
    <w:p w:rsidR="00DC0324" w:rsidRDefault="00615D43">
      <w:pPr>
        <w:pStyle w:val="normal0"/>
        <w:spacing w:after="0" w:line="360" w:lineRule="auto"/>
      </w:pPr>
      <w:r>
        <w:rPr>
          <w:rFonts w:ascii="Cambria" w:eastAsia="Cambria" w:hAnsi="Cambria" w:cs="Cambria"/>
          <w:b/>
          <w:sz w:val="24"/>
        </w:rPr>
        <w:t>Grade and Content Area:  5</w:t>
      </w:r>
      <w:r>
        <w:rPr>
          <w:rFonts w:ascii="Cambria" w:eastAsia="Cambria" w:hAnsi="Cambria" w:cs="Cambria"/>
          <w:b/>
          <w:sz w:val="24"/>
          <w:vertAlign w:val="superscript"/>
        </w:rPr>
        <w:t>th</w:t>
      </w:r>
      <w:r>
        <w:rPr>
          <w:rFonts w:ascii="Cambria" w:eastAsia="Cambria" w:hAnsi="Cambria" w:cs="Cambria"/>
          <w:b/>
          <w:sz w:val="24"/>
        </w:rPr>
        <w:t xml:space="preserve"> ELA</w:t>
      </w:r>
    </w:p>
    <w:p w:rsidR="00DC0324" w:rsidRDefault="00615D43">
      <w:pPr>
        <w:pStyle w:val="normal0"/>
        <w:spacing w:after="0" w:line="360" w:lineRule="auto"/>
      </w:pPr>
      <w:r>
        <w:rPr>
          <w:rFonts w:ascii="Cambria" w:eastAsia="Cambria" w:hAnsi="Cambria" w:cs="Cambria"/>
          <w:b/>
          <w:sz w:val="24"/>
        </w:rPr>
        <w:t>Unit Title:  Stories Worth Telling</w:t>
      </w:r>
    </w:p>
    <w:p w:rsidR="00DC0324" w:rsidRDefault="00615D43">
      <w:pPr>
        <w:pStyle w:val="normal0"/>
        <w:spacing w:after="0" w:line="360" w:lineRule="auto"/>
      </w:pPr>
      <w:r>
        <w:rPr>
          <w:rFonts w:ascii="Cambria" w:eastAsia="Cambria" w:hAnsi="Cambria" w:cs="Cambria"/>
          <w:b/>
          <w:sz w:val="24"/>
        </w:rPr>
        <w:t>Length of Unit:  4-6 weeks</w:t>
      </w:r>
    </w:p>
    <w:p w:rsidR="00DC0324" w:rsidRDefault="00615D43">
      <w:pPr>
        <w:pStyle w:val="normal0"/>
        <w:spacing w:after="0" w:line="240" w:lineRule="auto"/>
      </w:pPr>
      <w:r>
        <w:rPr>
          <w:rFonts w:ascii="Cambria" w:eastAsia="Cambria" w:hAnsi="Cambria" w:cs="Cambria"/>
          <w:b/>
          <w:sz w:val="24"/>
        </w:rPr>
        <w:t xml:space="preserve">Unit Description:  </w:t>
      </w:r>
    </w:p>
    <w:p w:rsidR="00DC0324" w:rsidRDefault="00615D43">
      <w:pPr>
        <w:pStyle w:val="normal0"/>
        <w:spacing w:after="0" w:line="240" w:lineRule="auto"/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>In this 4-6 week unit, students will demonstrate their understanding of a text through the use of comprehension strategies, discussions and writing.  We will begin the unit by discussing rules and expectations for academic conversations.  Students will ide</w:t>
      </w:r>
      <w:r>
        <w:rPr>
          <w:rFonts w:ascii="Cambria" w:eastAsia="Cambria" w:hAnsi="Cambria" w:cs="Cambria"/>
          <w:b/>
          <w:sz w:val="24"/>
        </w:rPr>
        <w:t>ntify appropriate behavior and compare forms of communication (when to be formal/informal).  Then, students will read various short texts and use different comprehension strategies (with a greater focus on summarizing) to understand the text.  They will th</w:t>
      </w:r>
      <w:r>
        <w:rPr>
          <w:rFonts w:ascii="Cambria" w:eastAsia="Cambria" w:hAnsi="Cambria" w:cs="Cambria"/>
          <w:b/>
          <w:sz w:val="24"/>
        </w:rPr>
        <w:t>en take this information and have a discussion about the text, following the rules.  Finally, they will write about their learning while quoting accurately from the text.</w:t>
      </w:r>
    </w:p>
    <w:p w:rsidR="00DC0324" w:rsidRDefault="00DC0324">
      <w:pPr>
        <w:pStyle w:val="normal0"/>
        <w:spacing w:after="0" w:line="240" w:lineRule="auto"/>
      </w:pPr>
    </w:p>
    <w:p w:rsidR="00DC0324" w:rsidRDefault="00615D43">
      <w:pPr>
        <w:pStyle w:val="normal0"/>
        <w:spacing w:after="0" w:line="240" w:lineRule="auto"/>
      </w:pPr>
      <w:r>
        <w:rPr>
          <w:rFonts w:ascii="Cambria" w:eastAsia="Cambria" w:hAnsi="Cambria" w:cs="Cambria"/>
          <w:b/>
          <w:sz w:val="24"/>
        </w:rPr>
        <w:t>Prior Knowledge and Experiences:</w:t>
      </w:r>
    </w:p>
    <w:p w:rsidR="00DC0324" w:rsidRDefault="00615D43">
      <w:pPr>
        <w:pStyle w:val="normal0"/>
        <w:numPr>
          <w:ilvl w:val="0"/>
          <w:numId w:val="1"/>
        </w:numPr>
        <w:spacing w:after="0" w:line="240" w:lineRule="auto"/>
        <w:ind w:hanging="359"/>
        <w:rPr>
          <w:b/>
          <w:sz w:val="24"/>
        </w:rPr>
      </w:pPr>
      <w:r>
        <w:rPr>
          <w:rFonts w:ascii="Cambria" w:eastAsia="Cambria" w:hAnsi="Cambria" w:cs="Cambria"/>
          <w:b/>
          <w:sz w:val="24"/>
        </w:rPr>
        <w:t>Basic understanding of appropriate behaviors in a d</w:t>
      </w:r>
      <w:r>
        <w:rPr>
          <w:rFonts w:ascii="Cambria" w:eastAsia="Cambria" w:hAnsi="Cambria" w:cs="Cambria"/>
          <w:b/>
          <w:sz w:val="24"/>
        </w:rPr>
        <w:t>iscussion</w:t>
      </w:r>
    </w:p>
    <w:p w:rsidR="00DC0324" w:rsidRDefault="00615D43">
      <w:pPr>
        <w:pStyle w:val="normal0"/>
        <w:numPr>
          <w:ilvl w:val="0"/>
          <w:numId w:val="1"/>
        </w:numPr>
        <w:spacing w:after="0" w:line="240" w:lineRule="auto"/>
        <w:ind w:hanging="359"/>
        <w:rPr>
          <w:b/>
          <w:sz w:val="24"/>
        </w:rPr>
      </w:pPr>
      <w:r>
        <w:rPr>
          <w:rFonts w:ascii="Cambria" w:eastAsia="Cambria" w:hAnsi="Cambria" w:cs="Cambria"/>
          <w:b/>
          <w:sz w:val="24"/>
        </w:rPr>
        <w:t>Basic understanding of comprehension strategies</w:t>
      </w:r>
    </w:p>
    <w:p w:rsidR="00DC0324" w:rsidRDefault="00615D43">
      <w:pPr>
        <w:pStyle w:val="normal0"/>
        <w:numPr>
          <w:ilvl w:val="0"/>
          <w:numId w:val="1"/>
        </w:numPr>
        <w:spacing w:after="0" w:line="240" w:lineRule="auto"/>
        <w:ind w:hanging="359"/>
        <w:rPr>
          <w:b/>
          <w:sz w:val="24"/>
        </w:rPr>
      </w:pPr>
      <w:r>
        <w:rPr>
          <w:rFonts w:ascii="Cambria" w:eastAsia="Cambria" w:hAnsi="Cambria" w:cs="Cambria"/>
          <w:b/>
          <w:sz w:val="24"/>
        </w:rPr>
        <w:t>Awareness of Step Up to Writing reds, yellows and greens</w:t>
      </w:r>
    </w:p>
    <w:p w:rsidR="00DC0324" w:rsidRDefault="00615D43">
      <w:pPr>
        <w:pStyle w:val="normal0"/>
        <w:numPr>
          <w:ilvl w:val="0"/>
          <w:numId w:val="1"/>
        </w:numPr>
        <w:spacing w:after="0" w:line="240" w:lineRule="auto"/>
        <w:ind w:hanging="359"/>
        <w:rPr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Practice in developing a summary or summary sentence</w:t>
      </w:r>
    </w:p>
    <w:p w:rsidR="00DC0324" w:rsidRDefault="00DC0324">
      <w:pPr>
        <w:pStyle w:val="normal0"/>
        <w:spacing w:after="0" w:line="240" w:lineRule="auto"/>
      </w:pPr>
    </w:p>
    <w:p w:rsidR="00DC0324" w:rsidRDefault="00DC0324">
      <w:pPr>
        <w:pStyle w:val="normal0"/>
        <w:spacing w:after="0" w:line="240" w:lineRule="auto"/>
      </w:pPr>
    </w:p>
    <w:tbl>
      <w:tblPr>
        <w:tblStyle w:val="a"/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8"/>
        <w:gridCol w:w="3676"/>
        <w:gridCol w:w="9404"/>
      </w:tblGrid>
      <w:tr w:rsidR="00DC0324">
        <w:tc>
          <w:tcPr>
            <w:tcW w:w="798" w:type="dxa"/>
            <w:shd w:val="clear" w:color="auto" w:fill="92CDDC"/>
          </w:tcPr>
          <w:p w:rsidR="00DC0324" w:rsidRDefault="00615D43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Weeks At A Glance</w:t>
            </w:r>
          </w:p>
        </w:tc>
        <w:tc>
          <w:tcPr>
            <w:tcW w:w="3676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9404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</w:tr>
      <w:tr w:rsidR="00DC0324">
        <w:tc>
          <w:tcPr>
            <w:tcW w:w="798" w:type="dxa"/>
            <w:shd w:val="clear" w:color="auto" w:fill="DAEEF3"/>
          </w:tcPr>
          <w:p w:rsidR="00DC0324" w:rsidRDefault="00615D43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Week</w:t>
            </w:r>
          </w:p>
        </w:tc>
        <w:tc>
          <w:tcPr>
            <w:tcW w:w="3676" w:type="dxa"/>
            <w:shd w:val="clear" w:color="auto" w:fill="DAEEF3"/>
          </w:tcPr>
          <w:p w:rsidR="00DC0324" w:rsidRDefault="00615D43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Standards, GLE’s, EO’s,</w:t>
            </w:r>
          </w:p>
        </w:tc>
        <w:tc>
          <w:tcPr>
            <w:tcW w:w="9404" w:type="dxa"/>
            <w:shd w:val="clear" w:color="auto" w:fill="DAEEF3"/>
          </w:tcPr>
          <w:p w:rsidR="00DC0324" w:rsidRDefault="00615D43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Focus</w:t>
            </w:r>
          </w:p>
        </w:tc>
      </w:tr>
      <w:tr w:rsidR="00DC0324">
        <w:tc>
          <w:tcPr>
            <w:tcW w:w="798" w:type="dxa"/>
          </w:tcPr>
          <w:p w:rsidR="00DC0324" w:rsidRDefault="00615D43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3676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</w:rPr>
              <w:t>S1-GLE.2-EO.a-d</w:t>
            </w:r>
          </w:p>
        </w:tc>
        <w:tc>
          <w:tcPr>
            <w:tcW w:w="9404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Academic Conversations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-Develop rules for discussions in various settings (whole class, teacher-student, small group, partners)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-Use question starters to encourage classmates to explain thoroughly or deepen their thinking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-Model a variety of active listeni</w:t>
            </w:r>
            <w:r>
              <w:rPr>
                <w:rFonts w:ascii="Cambria" w:eastAsia="Cambria" w:hAnsi="Cambria" w:cs="Cambria"/>
                <w:sz w:val="24"/>
              </w:rPr>
              <w:t xml:space="preserve">ng strategies (eye contact, note taking, questioning, </w:t>
            </w:r>
            <w:r>
              <w:rPr>
                <w:rFonts w:ascii="Cambria" w:eastAsia="Cambria" w:hAnsi="Cambria" w:cs="Cambria"/>
                <w:sz w:val="24"/>
              </w:rPr>
              <w:lastRenderedPageBreak/>
              <w:t>formulating clarifying questions, responding to comments)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-Practice having a discussion and summarizing the main ideas expressed in the discussion </w:t>
            </w:r>
          </w:p>
        </w:tc>
      </w:tr>
      <w:tr w:rsidR="00DC0324">
        <w:tc>
          <w:tcPr>
            <w:tcW w:w="798" w:type="dxa"/>
          </w:tcPr>
          <w:p w:rsidR="00DC0324" w:rsidRDefault="00615D43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2</w:t>
            </w:r>
          </w:p>
        </w:tc>
        <w:tc>
          <w:tcPr>
            <w:tcW w:w="3676" w:type="dxa"/>
          </w:tcPr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S2-GLE.1-EO.a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S2-GLE.1-EO.c.v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S2-GLE.1-EO.b.i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S2-</w:t>
            </w:r>
            <w:r>
              <w:rPr>
                <w:rFonts w:ascii="Cambria" w:eastAsia="Cambria" w:hAnsi="Cambria" w:cs="Cambria"/>
                <w:sz w:val="24"/>
              </w:rPr>
              <w:t>GLE.2-EO.b.iv</w:t>
            </w:r>
          </w:p>
        </w:tc>
        <w:tc>
          <w:tcPr>
            <w:tcW w:w="9404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Visualizing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-Read a grade level appropriate text and use visualizing to develop a deeper understanding of the text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-Use knowledge from the text to participate in a collaborative discussion, following rules and demonstrating appropriate behavi</w:t>
            </w:r>
            <w:r>
              <w:rPr>
                <w:rFonts w:ascii="Cambria" w:eastAsia="Cambria" w:hAnsi="Cambria" w:cs="Cambria"/>
                <w:sz w:val="24"/>
              </w:rPr>
              <w:t>ors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-Take the knowledge gained through reading and discussing the text and respond to grade level appropriate questions in writing</w:t>
            </w:r>
          </w:p>
        </w:tc>
      </w:tr>
      <w:tr w:rsidR="00DC0324">
        <w:tc>
          <w:tcPr>
            <w:tcW w:w="798" w:type="dxa"/>
          </w:tcPr>
          <w:p w:rsidR="00DC0324" w:rsidRDefault="00615D43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</w:t>
            </w:r>
          </w:p>
        </w:tc>
        <w:tc>
          <w:tcPr>
            <w:tcW w:w="3676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S2-GLE.1-EO.a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S2-GLE.1-EO.c.v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S2-GLE.1-EO.b.i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S2-GLE.2-EO.b.iv</w:t>
            </w:r>
          </w:p>
        </w:tc>
        <w:tc>
          <w:tcPr>
            <w:tcW w:w="9404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 xml:space="preserve">Predicting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-Read a grade level appropriate text and use predicting to develop a deeper understanding of the text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-Use knowledge from the text to participate in a collaborative discussion, following rules and demonstrating appropriate behaviors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-Take the knowledge gai</w:t>
            </w:r>
            <w:r>
              <w:rPr>
                <w:rFonts w:ascii="Cambria" w:eastAsia="Cambria" w:hAnsi="Cambria" w:cs="Cambria"/>
                <w:sz w:val="24"/>
              </w:rPr>
              <w:t>ned through reading and discussing the text and respond to grade level appropriate questions in writing</w:t>
            </w:r>
          </w:p>
        </w:tc>
      </w:tr>
      <w:tr w:rsidR="00DC0324">
        <w:tc>
          <w:tcPr>
            <w:tcW w:w="798" w:type="dxa"/>
          </w:tcPr>
          <w:p w:rsidR="00DC0324" w:rsidRDefault="00615D43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</w:t>
            </w:r>
          </w:p>
        </w:tc>
        <w:tc>
          <w:tcPr>
            <w:tcW w:w="3676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S2-GLE.1-EO.a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S2-GLE.1-EO.c.v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S2-GLE.1-EO.b.i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S2-GLE.2-EO.b.iv </w:t>
            </w:r>
          </w:p>
        </w:tc>
        <w:tc>
          <w:tcPr>
            <w:tcW w:w="9404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Making Connections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-Read a grade level appropriate text and make connections to develop a deeper understanding of the text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-Use knowledge from the text to participate in a collaborative discussion, following rules and demonstrating appropriate behaviors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-Take the knowledge g</w:t>
            </w:r>
            <w:r>
              <w:rPr>
                <w:rFonts w:ascii="Cambria" w:eastAsia="Cambria" w:hAnsi="Cambria" w:cs="Cambria"/>
                <w:sz w:val="24"/>
              </w:rPr>
              <w:t>ained through reading and discussing the text and respond to grade level appropriate questions in writing</w:t>
            </w:r>
          </w:p>
        </w:tc>
      </w:tr>
      <w:tr w:rsidR="00DC0324">
        <w:tc>
          <w:tcPr>
            <w:tcW w:w="798" w:type="dxa"/>
          </w:tcPr>
          <w:p w:rsidR="00DC0324" w:rsidRDefault="00615D43">
            <w:pPr>
              <w:pStyle w:val="normal0"/>
              <w:spacing w:line="360" w:lineRule="auto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3676" w:type="dxa"/>
          </w:tcPr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(S2-GLE.1-EO.a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S2-GLE.1-EO.c.v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S2-GLE.1-EO.b.i </w:t>
            </w:r>
          </w:p>
          <w:p w:rsidR="00DC0324" w:rsidRDefault="00615D43">
            <w:pPr>
              <w:pStyle w:val="normal0"/>
              <w:spacing w:line="360" w:lineRule="auto"/>
            </w:pPr>
            <w:r>
              <w:rPr>
                <w:rFonts w:ascii="Cambria" w:eastAsia="Cambria" w:hAnsi="Cambria" w:cs="Cambria"/>
                <w:sz w:val="24"/>
              </w:rPr>
              <w:t>S2-GLE.2-EO.b.iv)</w:t>
            </w:r>
          </w:p>
          <w:p w:rsidR="00DC0324" w:rsidRDefault="00615D43">
            <w:pPr>
              <w:pStyle w:val="normal0"/>
              <w:spacing w:line="360" w:lineRule="auto"/>
            </w:pPr>
            <w:r>
              <w:rPr>
                <w:rFonts w:ascii="Cambria" w:eastAsia="Cambria" w:hAnsi="Cambria" w:cs="Cambria"/>
                <w:sz w:val="24"/>
              </w:rPr>
              <w:t>S2-GLE.2-EO.a.ii</w:t>
            </w:r>
          </w:p>
        </w:tc>
        <w:tc>
          <w:tcPr>
            <w:tcW w:w="9404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Summarizing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-Identify difference between retell and summary (sk</w:t>
            </w:r>
            <w:r>
              <w:rPr>
                <w:rFonts w:ascii="Cambria" w:eastAsia="Cambria" w:hAnsi="Cambria" w:cs="Cambria"/>
                <w:sz w:val="24"/>
              </w:rPr>
              <w:t>eleton vs. fully clothed person)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-Look over examples of questions and answers used to guide summaries (also practice answering the questions)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-Analyze summaries developed through the use of the guiding questions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-Choose appropriate topics sentences or detail sentences for a whole-class summary</w:t>
            </w:r>
          </w:p>
        </w:tc>
      </w:tr>
      <w:tr w:rsidR="00DC0324">
        <w:tc>
          <w:tcPr>
            <w:tcW w:w="798" w:type="dxa"/>
          </w:tcPr>
          <w:p w:rsidR="00DC0324" w:rsidRDefault="00615D43">
            <w:pPr>
              <w:pStyle w:val="normal0"/>
              <w:spacing w:line="360" w:lineRule="auto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3676" w:type="dxa"/>
          </w:tcPr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S2-GLE.2-EO.a.ii</w:t>
            </w:r>
          </w:p>
        </w:tc>
        <w:tc>
          <w:tcPr>
            <w:tcW w:w="9404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Summarizing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-Discuss how the summary frame will be used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-Together, practice using the summary frame (with sentence starters which will be pulled away la</w:t>
            </w:r>
            <w:r>
              <w:rPr>
                <w:rFonts w:ascii="Cambria" w:eastAsia="Cambria" w:hAnsi="Cambria" w:cs="Cambria"/>
                <w:sz w:val="24"/>
              </w:rPr>
              <w:t>ter)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-Practice using the summary frame</w:t>
            </w:r>
          </w:p>
        </w:tc>
      </w:tr>
    </w:tbl>
    <w:p w:rsidR="00DC0324" w:rsidRDefault="00DC0324">
      <w:pPr>
        <w:pStyle w:val="normal0"/>
        <w:spacing w:after="0" w:line="240" w:lineRule="auto"/>
      </w:pPr>
    </w:p>
    <w:p w:rsidR="00DC0324" w:rsidRDefault="00DC0324">
      <w:pPr>
        <w:pStyle w:val="normal0"/>
        <w:spacing w:after="0" w:line="240" w:lineRule="auto"/>
      </w:pPr>
    </w:p>
    <w:p w:rsidR="00DC0324" w:rsidRDefault="00DC0324">
      <w:pPr>
        <w:pStyle w:val="normal0"/>
        <w:spacing w:after="0" w:line="240" w:lineRule="auto"/>
      </w:pPr>
    </w:p>
    <w:p w:rsidR="00DC0324" w:rsidRDefault="00DC0324">
      <w:pPr>
        <w:pStyle w:val="normal0"/>
        <w:spacing w:after="0" w:line="240" w:lineRule="auto"/>
      </w:pPr>
    </w:p>
    <w:tbl>
      <w:tblPr>
        <w:tblStyle w:val="a0"/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0"/>
        <w:gridCol w:w="12780"/>
      </w:tblGrid>
      <w:tr w:rsidR="00DC0324">
        <w:tc>
          <w:tcPr>
            <w:tcW w:w="990" w:type="dxa"/>
            <w:shd w:val="clear" w:color="auto" w:fill="DAEEF3"/>
          </w:tcPr>
          <w:p w:rsidR="00DC0324" w:rsidRDefault="00DC0324">
            <w:pPr>
              <w:pStyle w:val="normal0"/>
              <w:jc w:val="center"/>
            </w:pPr>
          </w:p>
          <w:p w:rsidR="00DC0324" w:rsidRDefault="00615D43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Inquiry Questions (Essential Questions):</w:t>
            </w:r>
          </w:p>
        </w:tc>
        <w:tc>
          <w:tcPr>
            <w:tcW w:w="1278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</w:tr>
      <w:tr w:rsidR="00DC0324">
        <w:tc>
          <w:tcPr>
            <w:tcW w:w="990" w:type="dxa"/>
          </w:tcPr>
          <w:p w:rsidR="00DC0324" w:rsidRDefault="00615D43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12780" w:type="dxa"/>
          </w:tcPr>
          <w:p w:rsidR="00DC0324" w:rsidRDefault="00615D43">
            <w:pPr>
              <w:pStyle w:val="normal0"/>
              <w:spacing w:line="360" w:lineRule="auto"/>
            </w:pPr>
            <w:r>
              <w:rPr>
                <w:rFonts w:ascii="Cambria" w:eastAsia="Cambria" w:hAnsi="Cambria" w:cs="Cambria"/>
                <w:sz w:val="24"/>
              </w:rPr>
              <w:t>What can readers do to improve their understanding of a text?</w:t>
            </w:r>
          </w:p>
        </w:tc>
      </w:tr>
      <w:tr w:rsidR="00DC0324">
        <w:tc>
          <w:tcPr>
            <w:tcW w:w="990" w:type="dxa"/>
          </w:tcPr>
          <w:p w:rsidR="00DC0324" w:rsidRDefault="00615D43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</w:t>
            </w:r>
          </w:p>
        </w:tc>
        <w:tc>
          <w:tcPr>
            <w:tcW w:w="12780" w:type="dxa"/>
          </w:tcPr>
          <w:p w:rsidR="00DC0324" w:rsidRDefault="00615D43">
            <w:pPr>
              <w:pStyle w:val="normal0"/>
              <w:spacing w:line="360" w:lineRule="auto"/>
            </w:pPr>
            <w:r>
              <w:rPr>
                <w:rFonts w:ascii="Cambria" w:eastAsia="Cambria" w:hAnsi="Cambria" w:cs="Cambria"/>
                <w:sz w:val="24"/>
              </w:rPr>
              <w:t>What role do academic conversations play in our learning?</w:t>
            </w:r>
          </w:p>
        </w:tc>
      </w:tr>
      <w:tr w:rsidR="00DC0324">
        <w:tc>
          <w:tcPr>
            <w:tcW w:w="990" w:type="dxa"/>
          </w:tcPr>
          <w:p w:rsidR="00DC0324" w:rsidRDefault="00615D43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</w:t>
            </w:r>
          </w:p>
        </w:tc>
        <w:tc>
          <w:tcPr>
            <w:tcW w:w="12780" w:type="dxa"/>
          </w:tcPr>
          <w:p w:rsidR="00DC0324" w:rsidRDefault="00615D43">
            <w:pPr>
              <w:pStyle w:val="normal0"/>
              <w:spacing w:line="360" w:lineRule="auto"/>
            </w:pPr>
            <w:r>
              <w:rPr>
                <w:rFonts w:ascii="Cambria" w:eastAsia="Cambria" w:hAnsi="Cambria" w:cs="Cambria"/>
                <w:sz w:val="24"/>
              </w:rPr>
              <w:t>How can we determine which form of communication is appropriate?</w:t>
            </w:r>
          </w:p>
        </w:tc>
      </w:tr>
    </w:tbl>
    <w:p w:rsidR="00DC0324" w:rsidRDefault="00DC0324">
      <w:pPr>
        <w:pStyle w:val="normal0"/>
        <w:spacing w:after="0" w:line="240" w:lineRule="auto"/>
      </w:pPr>
    </w:p>
    <w:p w:rsidR="00DC0324" w:rsidRDefault="00DC0324">
      <w:pPr>
        <w:pStyle w:val="normal0"/>
        <w:spacing w:after="0" w:line="240" w:lineRule="auto"/>
      </w:pPr>
    </w:p>
    <w:p w:rsidR="00DC0324" w:rsidRDefault="00DC0324">
      <w:pPr>
        <w:pStyle w:val="normal0"/>
        <w:spacing w:after="0" w:line="240" w:lineRule="auto"/>
      </w:pPr>
    </w:p>
    <w:tbl>
      <w:tblPr>
        <w:tblStyle w:val="a1"/>
        <w:tblW w:w="13786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04"/>
        <w:gridCol w:w="10182"/>
      </w:tblGrid>
      <w:tr w:rsidR="00DC0324">
        <w:tc>
          <w:tcPr>
            <w:tcW w:w="3604" w:type="dxa"/>
            <w:shd w:val="clear" w:color="auto" w:fill="92CDDC"/>
          </w:tcPr>
          <w:p w:rsidR="00DC0324" w:rsidRDefault="00615D43">
            <w:pPr>
              <w:pStyle w:val="normal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Performance Assessment:</w:t>
            </w:r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The capstone/summative assessment for this unit.</w:t>
            </w:r>
          </w:p>
        </w:tc>
        <w:tc>
          <w:tcPr>
            <w:tcW w:w="10182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</w:pPr>
          </w:p>
        </w:tc>
      </w:tr>
      <w:tr w:rsidR="00DC0324">
        <w:tc>
          <w:tcPr>
            <w:tcW w:w="3604" w:type="dxa"/>
            <w:shd w:val="clear" w:color="auto" w:fill="DAEEF3"/>
          </w:tcPr>
          <w:p w:rsidR="00DC0324" w:rsidRDefault="00615D43">
            <w:pPr>
              <w:pStyle w:val="normal0"/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Claims: </w:t>
            </w:r>
          </w:p>
          <w:p w:rsidR="00DC0324" w:rsidRDefault="00615D43">
            <w:pPr>
              <w:pStyle w:val="normal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(Key generalization(s) to be mastered and demonstrated through the capstone assessment.)</w:t>
            </w:r>
          </w:p>
        </w:tc>
        <w:tc>
          <w:tcPr>
            <w:tcW w:w="10182" w:type="dxa"/>
            <w:shd w:val="clear" w:color="auto" w:fill="FFFFFF"/>
          </w:tcPr>
          <w:p w:rsidR="00DC0324" w:rsidRDefault="00DC0324">
            <w:pPr>
              <w:pStyle w:val="normal0"/>
              <w:spacing w:after="0" w:line="240" w:lineRule="auto"/>
            </w:pPr>
          </w:p>
        </w:tc>
      </w:tr>
      <w:tr w:rsidR="00DC0324">
        <w:tc>
          <w:tcPr>
            <w:tcW w:w="3604" w:type="dxa"/>
            <w:shd w:val="clear" w:color="auto" w:fill="DAEEF3"/>
          </w:tcPr>
          <w:p w:rsidR="00DC0324" w:rsidRDefault="00615D43">
            <w:pPr>
              <w:pStyle w:val="normal0"/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Stimulus Material:</w:t>
            </w:r>
          </w:p>
          <w:p w:rsidR="00DC0324" w:rsidRDefault="00615D43">
            <w:pPr>
              <w:pStyle w:val="normal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(Engaging scenario that includes role, audience, goal/outcome and explicitly connects the key </w:t>
            </w:r>
            <w:r>
              <w:rPr>
                <w:rFonts w:ascii="Cambria" w:eastAsia="Cambria" w:hAnsi="Cambria" w:cs="Cambria"/>
                <w:sz w:val="24"/>
              </w:rPr>
              <w:lastRenderedPageBreak/>
              <w:t>generalization)</w:t>
            </w:r>
          </w:p>
        </w:tc>
        <w:tc>
          <w:tcPr>
            <w:tcW w:w="10182" w:type="dxa"/>
            <w:shd w:val="clear" w:color="auto" w:fill="FFFFFF"/>
          </w:tcPr>
          <w:p w:rsidR="00DC0324" w:rsidRDefault="00DC0324">
            <w:pPr>
              <w:pStyle w:val="normal0"/>
              <w:spacing w:after="0" w:line="240" w:lineRule="auto"/>
            </w:pPr>
          </w:p>
        </w:tc>
      </w:tr>
      <w:tr w:rsidR="00DC0324">
        <w:trPr>
          <w:trHeight w:val="760"/>
        </w:trPr>
        <w:tc>
          <w:tcPr>
            <w:tcW w:w="3604" w:type="dxa"/>
            <w:shd w:val="clear" w:color="auto" w:fill="DAEEF3"/>
          </w:tcPr>
          <w:p w:rsidR="00DC0324" w:rsidRDefault="00615D43">
            <w:pPr>
              <w:pStyle w:val="normal0"/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Product/Evidence:</w:t>
            </w:r>
          </w:p>
          <w:p w:rsidR="00DC0324" w:rsidRDefault="00615D43">
            <w:pPr>
              <w:pStyle w:val="normal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(Expected product from students)</w:t>
            </w:r>
          </w:p>
        </w:tc>
        <w:tc>
          <w:tcPr>
            <w:tcW w:w="10182" w:type="dxa"/>
            <w:shd w:val="clear" w:color="auto" w:fill="FFFFFF"/>
          </w:tcPr>
          <w:p w:rsidR="00DC0324" w:rsidRDefault="00DC0324">
            <w:pPr>
              <w:pStyle w:val="normal0"/>
              <w:spacing w:after="0" w:line="240" w:lineRule="auto"/>
            </w:pPr>
          </w:p>
        </w:tc>
      </w:tr>
      <w:tr w:rsidR="00DC0324">
        <w:trPr>
          <w:trHeight w:val="60"/>
        </w:trPr>
        <w:tc>
          <w:tcPr>
            <w:tcW w:w="3604" w:type="dxa"/>
            <w:shd w:val="clear" w:color="auto" w:fill="DAEEF3"/>
          </w:tcPr>
          <w:p w:rsidR="00DC0324" w:rsidRDefault="00615D43">
            <w:pPr>
              <w:pStyle w:val="normal0"/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Differentiation:</w:t>
            </w:r>
          </w:p>
          <w:p w:rsidR="00DC0324" w:rsidRDefault="00615D43">
            <w:pPr>
              <w:pStyle w:val="normal0"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(Multiple modes for student expression)</w:t>
            </w:r>
          </w:p>
        </w:tc>
        <w:tc>
          <w:tcPr>
            <w:tcW w:w="10182" w:type="dxa"/>
            <w:shd w:val="clear" w:color="auto" w:fill="FFFFFF"/>
          </w:tcPr>
          <w:p w:rsidR="00DC0324" w:rsidRDefault="00DC0324">
            <w:pPr>
              <w:pStyle w:val="normal0"/>
              <w:spacing w:after="0" w:line="240" w:lineRule="auto"/>
              <w:ind w:left="288" w:hanging="287"/>
            </w:pPr>
          </w:p>
        </w:tc>
      </w:tr>
    </w:tbl>
    <w:p w:rsidR="00DC0324" w:rsidRDefault="00DC0324">
      <w:pPr>
        <w:pStyle w:val="normal0"/>
        <w:spacing w:after="0" w:line="240" w:lineRule="auto"/>
      </w:pPr>
    </w:p>
    <w:p w:rsidR="00DC0324" w:rsidRDefault="00DC0324">
      <w:pPr>
        <w:pStyle w:val="normal0"/>
        <w:spacing w:after="0" w:line="240" w:lineRule="auto"/>
      </w:pPr>
    </w:p>
    <w:tbl>
      <w:tblPr>
        <w:tblStyle w:val="a2"/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770"/>
      </w:tblGrid>
      <w:tr w:rsidR="00DC0324">
        <w:tc>
          <w:tcPr>
            <w:tcW w:w="13770" w:type="dxa"/>
            <w:shd w:val="clear" w:color="auto" w:fill="DAEEF3"/>
          </w:tcPr>
          <w:p w:rsidR="00DC0324" w:rsidRDefault="00DC0324">
            <w:pPr>
              <w:pStyle w:val="normal0"/>
              <w:jc w:val="center"/>
            </w:pPr>
          </w:p>
          <w:p w:rsidR="00DC0324" w:rsidRDefault="00615D43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Unit Considerations (Notes to teachers):</w:t>
            </w:r>
          </w:p>
        </w:tc>
      </w:tr>
      <w:tr w:rsidR="00DC0324">
        <w:tc>
          <w:tcPr>
            <w:tcW w:w="13770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-Collect examples of summary guiding questions and answers, as well as completed summaries. (CITW Handbook)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-Decide which text you will use for guided practice and which you will use for independent practice</w:t>
            </w:r>
          </w:p>
        </w:tc>
      </w:tr>
    </w:tbl>
    <w:p w:rsidR="00DC0324" w:rsidRDefault="00DC0324">
      <w:pPr>
        <w:pStyle w:val="normal0"/>
        <w:spacing w:after="0" w:line="240" w:lineRule="auto"/>
      </w:pPr>
    </w:p>
    <w:tbl>
      <w:tblPr>
        <w:tblStyle w:val="a3"/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80"/>
        <w:gridCol w:w="7290"/>
      </w:tblGrid>
      <w:tr w:rsidR="00DC0324">
        <w:tc>
          <w:tcPr>
            <w:tcW w:w="6480" w:type="dxa"/>
            <w:shd w:val="clear" w:color="auto" w:fill="92CDDC"/>
          </w:tcPr>
          <w:p w:rsidR="00DC0324" w:rsidRDefault="00DC0324">
            <w:pPr>
              <w:pStyle w:val="normal0"/>
              <w:jc w:val="center"/>
            </w:pPr>
          </w:p>
          <w:p w:rsidR="00DC0324" w:rsidRDefault="00615D43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Texts for Independent Reading or Class Read Aloud to Support the Content</w:t>
            </w:r>
          </w:p>
        </w:tc>
        <w:tc>
          <w:tcPr>
            <w:tcW w:w="729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</w:tr>
      <w:tr w:rsidR="00DC0324">
        <w:tc>
          <w:tcPr>
            <w:tcW w:w="6480" w:type="dxa"/>
            <w:shd w:val="clear" w:color="auto" w:fill="DAEEF3"/>
          </w:tcPr>
          <w:p w:rsidR="00DC0324" w:rsidRDefault="00615D43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Informational/Nonfiction</w:t>
            </w:r>
          </w:p>
        </w:tc>
        <w:tc>
          <w:tcPr>
            <w:tcW w:w="7290" w:type="dxa"/>
            <w:shd w:val="clear" w:color="auto" w:fill="DAEEF3"/>
          </w:tcPr>
          <w:p w:rsidR="00DC0324" w:rsidRDefault="00615D43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Fiction</w:t>
            </w:r>
          </w:p>
        </w:tc>
      </w:tr>
      <w:tr w:rsidR="00DC0324">
        <w:tc>
          <w:tcPr>
            <w:tcW w:w="6480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-Bats of Bracken Cave (National Geographic- Visualizing)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-Summer Olympics (Reading A-Z- Making connections)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-Is Bottled Water Really Better? (Scope- Summarizing)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-Don’t Wake the Mummy (Reading A-Z- Predicting)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</w:tc>
        <w:tc>
          <w:tcPr>
            <w:tcW w:w="7290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-Hiccup by Mercer Mayer (Visualizing)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-Garden of Gasazi by Chris Van Allsburg (Making connections)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-Just a Dream by Chris Van Allsburg (Making connectio</w:t>
            </w:r>
            <w:r>
              <w:rPr>
                <w:rFonts w:ascii="Cambria" w:eastAsia="Cambria" w:hAnsi="Cambria" w:cs="Cambria"/>
                <w:sz w:val="24"/>
              </w:rPr>
              <w:t>ns)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-The Mitten by Jan Brett (Predicting)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-D.J. from Sideways Stories from Wayside School (Summarizing)</w:t>
            </w:r>
          </w:p>
        </w:tc>
      </w:tr>
    </w:tbl>
    <w:p w:rsidR="00DC0324" w:rsidRDefault="00DC0324">
      <w:pPr>
        <w:pStyle w:val="normal0"/>
        <w:spacing w:after="0" w:line="240" w:lineRule="auto"/>
      </w:pPr>
    </w:p>
    <w:p w:rsidR="00DC0324" w:rsidRDefault="00DC0324">
      <w:pPr>
        <w:pStyle w:val="normal0"/>
        <w:spacing w:after="0" w:line="240" w:lineRule="auto"/>
      </w:pPr>
    </w:p>
    <w:p w:rsidR="00DC0324" w:rsidRDefault="00DC0324">
      <w:pPr>
        <w:pStyle w:val="normal0"/>
        <w:spacing w:after="0" w:line="240" w:lineRule="auto"/>
      </w:pPr>
    </w:p>
    <w:tbl>
      <w:tblPr>
        <w:tblStyle w:val="a4"/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770"/>
      </w:tblGrid>
      <w:tr w:rsidR="00DC0324">
        <w:tc>
          <w:tcPr>
            <w:tcW w:w="13770" w:type="dxa"/>
            <w:shd w:val="clear" w:color="auto" w:fill="DAEEF3"/>
          </w:tcPr>
          <w:p w:rsidR="00DC0324" w:rsidRDefault="00DC0324">
            <w:pPr>
              <w:pStyle w:val="normal0"/>
              <w:jc w:val="center"/>
            </w:pPr>
          </w:p>
          <w:p w:rsidR="00DC0324" w:rsidRDefault="00615D43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Websites and Apps.</w:t>
            </w:r>
          </w:p>
        </w:tc>
      </w:tr>
      <w:tr w:rsidR="00DC0324">
        <w:tc>
          <w:tcPr>
            <w:tcW w:w="13770" w:type="dxa"/>
          </w:tcPr>
          <w:p w:rsidR="00DC0324" w:rsidRDefault="00615D43">
            <w:pPr>
              <w:pStyle w:val="normal0"/>
              <w:numPr>
                <w:ilvl w:val="0"/>
                <w:numId w:val="1"/>
              </w:numPr>
              <w:ind w:hanging="359"/>
              <w:rPr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readinga-z.com</w:t>
            </w:r>
          </w:p>
          <w:p w:rsidR="00DC0324" w:rsidRDefault="00615D43">
            <w:pPr>
              <w:pStyle w:val="normal0"/>
              <w:numPr>
                <w:ilvl w:val="0"/>
                <w:numId w:val="1"/>
              </w:numPr>
              <w:ind w:hanging="359"/>
              <w:rPr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readworks.org</w:t>
            </w:r>
          </w:p>
          <w:p w:rsidR="00DC0324" w:rsidRDefault="00DC0324">
            <w:pPr>
              <w:pStyle w:val="normal0"/>
              <w:numPr>
                <w:ilvl w:val="0"/>
                <w:numId w:val="1"/>
              </w:numPr>
              <w:ind w:hanging="359"/>
              <w:rPr>
                <w:sz w:val="24"/>
              </w:rPr>
            </w:pPr>
            <w:hyperlink r:id="rId7">
              <w:r w:rsidR="00615D43">
                <w:rPr>
                  <w:color w:val="0000FF"/>
                  <w:sz w:val="24"/>
                  <w:u w:val="single"/>
                </w:rPr>
                <w:t>http://readingandwritingproject.com/resources/common-core-standards/ccs-videos.html</w:t>
              </w:r>
            </w:hyperlink>
            <w:r w:rsidR="00615D43">
              <w:rPr>
                <w:sz w:val="24"/>
                <w:u w:val="single"/>
              </w:rPr>
              <w:t xml:space="preserve"> </w:t>
            </w:r>
            <w:r w:rsidR="00615D43">
              <w:rPr>
                <w:sz w:val="24"/>
              </w:rPr>
              <w:t xml:space="preserve"> </w:t>
            </w:r>
          </w:p>
          <w:p w:rsidR="00DC0324" w:rsidRDefault="00DC0324">
            <w:pPr>
              <w:pStyle w:val="normal0"/>
              <w:ind w:left="720"/>
            </w:pPr>
          </w:p>
          <w:p w:rsidR="00DC0324" w:rsidRDefault="00DC0324">
            <w:pPr>
              <w:pStyle w:val="normal0"/>
            </w:pPr>
          </w:p>
        </w:tc>
      </w:tr>
    </w:tbl>
    <w:p w:rsidR="00DC0324" w:rsidRDefault="00DC0324">
      <w:pPr>
        <w:pStyle w:val="normal0"/>
        <w:spacing w:after="0" w:line="240" w:lineRule="auto"/>
      </w:pPr>
    </w:p>
    <w:p w:rsidR="00DC0324" w:rsidRDefault="00DC0324">
      <w:pPr>
        <w:pStyle w:val="normal0"/>
        <w:spacing w:after="0" w:line="240" w:lineRule="auto"/>
      </w:pPr>
    </w:p>
    <w:tbl>
      <w:tblPr>
        <w:tblStyle w:val="a5"/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770"/>
      </w:tblGrid>
      <w:tr w:rsidR="00DC0324">
        <w:tc>
          <w:tcPr>
            <w:tcW w:w="13770" w:type="dxa"/>
            <w:shd w:val="clear" w:color="auto" w:fill="DAEEF3"/>
          </w:tcPr>
          <w:p w:rsidR="00DC0324" w:rsidRDefault="00DC0324">
            <w:pPr>
              <w:pStyle w:val="normal0"/>
              <w:jc w:val="center"/>
            </w:pPr>
          </w:p>
          <w:p w:rsidR="00DC0324" w:rsidRDefault="00615D43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Materials (Manipulatives)</w:t>
            </w:r>
          </w:p>
        </w:tc>
      </w:tr>
      <w:tr w:rsidR="00DC0324">
        <w:tc>
          <w:tcPr>
            <w:tcW w:w="13770" w:type="dxa"/>
          </w:tcPr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</w:tc>
      </w:tr>
    </w:tbl>
    <w:p w:rsidR="00DC0324" w:rsidRDefault="00DC0324">
      <w:pPr>
        <w:pStyle w:val="normal0"/>
        <w:spacing w:after="0" w:line="240" w:lineRule="auto"/>
      </w:pPr>
    </w:p>
    <w:p w:rsidR="00DC0324" w:rsidRDefault="00DC0324">
      <w:pPr>
        <w:pStyle w:val="normal0"/>
        <w:spacing w:after="0" w:line="240" w:lineRule="auto"/>
      </w:pPr>
    </w:p>
    <w:p w:rsidR="00DC0324" w:rsidRDefault="00DC0324">
      <w:pPr>
        <w:pStyle w:val="normal0"/>
        <w:spacing w:after="0" w:line="240" w:lineRule="auto"/>
      </w:pPr>
    </w:p>
    <w:p w:rsidR="00DC0324" w:rsidRDefault="00DC0324">
      <w:pPr>
        <w:pStyle w:val="normal0"/>
        <w:spacing w:after="0" w:line="240" w:lineRule="auto"/>
      </w:pPr>
    </w:p>
    <w:p w:rsidR="00DC0324" w:rsidRDefault="00DC0324">
      <w:pPr>
        <w:pStyle w:val="normal0"/>
        <w:spacing w:after="0" w:line="240" w:lineRule="auto"/>
      </w:pPr>
    </w:p>
    <w:p w:rsidR="00DC0324" w:rsidRDefault="00DC0324">
      <w:pPr>
        <w:pStyle w:val="normal0"/>
        <w:spacing w:after="0" w:line="240" w:lineRule="auto"/>
      </w:pPr>
    </w:p>
    <w:tbl>
      <w:tblPr>
        <w:tblStyle w:val="a6"/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00"/>
        <w:gridCol w:w="720"/>
        <w:gridCol w:w="1440"/>
        <w:gridCol w:w="1980"/>
        <w:gridCol w:w="3690"/>
        <w:gridCol w:w="3240"/>
      </w:tblGrid>
      <w:tr w:rsidR="00DC0324">
        <w:tc>
          <w:tcPr>
            <w:tcW w:w="2700" w:type="dxa"/>
            <w:shd w:val="clear" w:color="auto" w:fill="92CDDC"/>
          </w:tcPr>
          <w:p w:rsidR="00DC0324" w:rsidRDefault="00615D43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Week One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2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</w:tr>
      <w:tr w:rsidR="00DC0324">
        <w:tc>
          <w:tcPr>
            <w:tcW w:w="270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Learning Experience #1 – Days 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2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</w:tr>
      <w:tr w:rsidR="00DC0324">
        <w:tc>
          <w:tcPr>
            <w:tcW w:w="270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Standard(s), GLE, and EO Addressed:</w:t>
            </w:r>
          </w:p>
        </w:tc>
        <w:tc>
          <w:tcPr>
            <w:tcW w:w="72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DOK</w:t>
            </w:r>
          </w:p>
        </w:tc>
        <w:tc>
          <w:tcPr>
            <w:tcW w:w="144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Guiding Question(s)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12"/>
              </w:rPr>
              <w:t>(Factual/Conceptual)</w:t>
            </w:r>
          </w:p>
        </w:tc>
        <w:tc>
          <w:tcPr>
            <w:tcW w:w="198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Objective(s)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4"/>
              </w:rPr>
              <w:t>By the end of the learning we will:</w:t>
            </w:r>
          </w:p>
        </w:tc>
        <w:tc>
          <w:tcPr>
            <w:tcW w:w="369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Activities, Vocabulary, and Effort</w:t>
            </w:r>
          </w:p>
        </w:tc>
        <w:tc>
          <w:tcPr>
            <w:tcW w:w="324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Resources (Books, materials, apps., websites, hands-on manipulatives)</w:t>
            </w:r>
          </w:p>
        </w:tc>
      </w:tr>
      <w:tr w:rsidR="00DC0324">
        <w:tc>
          <w:tcPr>
            <w:tcW w:w="2700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</w:rPr>
              <w:t>Standard 1: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Oral Expression and Listening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</w:rPr>
              <w:t>GLE.2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Listening strategies are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techniques that contribute to understanding different situations and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serving different purposes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</w:rPr>
              <w:t>Evidence Outcomes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a. Listen to other’s ideas and form their own opinions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b. Engage effectively in a range of collaborative discussions (one-on-one, in groups, and teacher-led) with diverse partners on grade 5 </w:t>
            </w:r>
            <w:r>
              <w:rPr>
                <w:rFonts w:ascii="Cambria" w:eastAsia="Cambria" w:hAnsi="Cambria" w:cs="Cambria"/>
                <w:i/>
                <w:sz w:val="20"/>
              </w:rPr>
              <w:lastRenderedPageBreak/>
              <w:t>topics and texts, building on others’ ideas and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expressing their own clearly (CCSS.SL.5.1)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c. Come to discussions prepared, having read or studied required material; explicitly draw on that preparation and other information known about the topic to explore ideas under discussion. (CCSS:SL.5.1a)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ii. Follow agreed-upon rules for discussions and carry out assigned roles. (CCSS:SL.5.1b)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iii. Pose and respond to specific questions by making comments that contribute to the discussion and elaborate on the remarks of others. (CCSS: SL.5.1c)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iv. Review the key ideas expressed and draw conclusions in light of information and knowledge gained from the discussions. (CCSS: SL.5.1d)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c. Model a variety of active listening strategies (eye contact, note taking, questioning, formulating clarifying ques</w:t>
            </w:r>
            <w:r>
              <w:rPr>
                <w:rFonts w:ascii="Cambria" w:eastAsia="Cambria" w:hAnsi="Cambria" w:cs="Cambria"/>
                <w:i/>
                <w:sz w:val="20"/>
              </w:rPr>
              <w:t>tions)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i. Summarize a written text read aloud or information presented in diverse media and formats, including visually, quantitatively, and orally. (CCSS:SL.5.2)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d. Summarize the points a speaker makes and explain how each claim is supported by reasons an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d evidence. </w:t>
            </w:r>
            <w:r>
              <w:rPr>
                <w:rFonts w:ascii="Cambria" w:eastAsia="Cambria" w:hAnsi="Cambria" w:cs="Cambria"/>
                <w:i/>
                <w:sz w:val="20"/>
              </w:rPr>
              <w:lastRenderedPageBreak/>
              <w:t>(CCSS:SL.5.3)</w:t>
            </w:r>
          </w:p>
          <w:p w:rsidR="00DC0324" w:rsidRDefault="00DC0324">
            <w:pPr>
              <w:pStyle w:val="normal0"/>
            </w:pPr>
          </w:p>
        </w:tc>
        <w:tc>
          <w:tcPr>
            <w:tcW w:w="720" w:type="dxa"/>
          </w:tcPr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i/>
                <w:sz w:val="24"/>
              </w:rPr>
              <w:t xml:space="preserve"> </w:t>
            </w:r>
          </w:p>
          <w:p w:rsidR="00DC0324" w:rsidRDefault="00615D43">
            <w:pPr>
              <w:pStyle w:val="normal0"/>
            </w:pPr>
            <w:r>
              <w:rPr>
                <w:i/>
                <w:sz w:val="24"/>
              </w:rPr>
              <w:t>2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i/>
                <w:sz w:val="24"/>
              </w:rPr>
              <w:t>2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i/>
                <w:sz w:val="24"/>
              </w:rPr>
              <w:t>2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i/>
                <w:sz w:val="24"/>
              </w:rPr>
              <w:t>2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4"/>
              </w:rPr>
              <w:t>2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4"/>
              </w:rPr>
              <w:t>1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4"/>
              </w:rPr>
              <w:t>2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4"/>
              </w:rPr>
              <w:t>2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4"/>
              </w:rPr>
              <w:t>2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4"/>
              </w:rPr>
              <w:t>1</w:t>
            </w:r>
          </w:p>
        </w:tc>
        <w:tc>
          <w:tcPr>
            <w:tcW w:w="1440" w:type="dxa"/>
          </w:tcPr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*How does using the steps for academic conversati-ons help me understand how others think and deepen my understan-ding?</w:t>
            </w:r>
          </w:p>
          <w:p w:rsidR="00DC0324" w:rsidRDefault="00DC0324">
            <w:pPr>
              <w:pStyle w:val="normal0"/>
            </w:pPr>
          </w:p>
        </w:tc>
        <w:tc>
          <w:tcPr>
            <w:tcW w:w="1980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KNOW: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-what an academic conversation is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UNDERSTAND: 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-the components of an academic conversation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BE ABLE TO DO: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-have an effective academic conversation on a specific topic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-use evidence from the text to support a claim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-develop an opinion based on knowledge gained through reading and discuss</w:t>
            </w:r>
            <w:r>
              <w:rPr>
                <w:rFonts w:ascii="Cambria" w:eastAsia="Cambria" w:hAnsi="Cambria" w:cs="Cambria"/>
                <w:sz w:val="24"/>
              </w:rPr>
              <w:t>ion</w:t>
            </w:r>
          </w:p>
        </w:tc>
        <w:tc>
          <w:tcPr>
            <w:tcW w:w="3690" w:type="dxa"/>
          </w:tcPr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1. Discuss- What are academic conversations?  How are they different from regular conversations?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2. Watch model videos and identify behaviors and expectations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3. Develop behaviors and expectations poster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4. Flesh out steps for active listening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- ey</w:t>
            </w:r>
            <w:r>
              <w:rPr>
                <w:rFonts w:ascii="Cambria" w:eastAsia="Cambria" w:hAnsi="Cambria" w:cs="Cambria"/>
                <w:sz w:val="24"/>
              </w:rPr>
              <w:t>e contact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 listening to what others have to say, not thinking of what you will say next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 be able to paraphrase what another person said at any time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5. Practice active listening based on a simple, personal question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6. Connect conversations to the need f</w:t>
            </w:r>
            <w:r>
              <w:rPr>
                <w:rFonts w:ascii="Cambria" w:eastAsia="Cambria" w:hAnsi="Cambria" w:cs="Cambria"/>
                <w:sz w:val="24"/>
              </w:rPr>
              <w:t>or evidence to support idea/opinion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7. Read and annotate article together based on a discussion question (use a debatable article which includes information for both sides of the argument)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8. Practice having an academic conversation (whole group, then sm</w:t>
            </w:r>
            <w:r>
              <w:rPr>
                <w:rFonts w:ascii="Cambria" w:eastAsia="Cambria" w:hAnsi="Cambria" w:cs="Cambria"/>
                <w:sz w:val="24"/>
              </w:rPr>
              <w:t>all group)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    Point out:</w:t>
            </w:r>
          </w:p>
          <w:p w:rsidR="00DC0324" w:rsidRDefault="00615D43">
            <w:pPr>
              <w:pStyle w:val="normal0"/>
              <w:numPr>
                <w:ilvl w:val="0"/>
                <w:numId w:val="1"/>
              </w:numPr>
              <w:spacing w:line="276" w:lineRule="auto"/>
              <w:ind w:hanging="359"/>
              <w:contextualSpacing/>
              <w:rPr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listening skills</w:t>
            </w:r>
          </w:p>
          <w:p w:rsidR="00DC0324" w:rsidRDefault="00615D43">
            <w:pPr>
              <w:pStyle w:val="normal0"/>
              <w:numPr>
                <w:ilvl w:val="0"/>
                <w:numId w:val="1"/>
              </w:numPr>
              <w:spacing w:line="276" w:lineRule="auto"/>
              <w:ind w:hanging="359"/>
              <w:contextualSpacing/>
              <w:rPr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opportunities to question each other</w:t>
            </w:r>
          </w:p>
          <w:p w:rsidR="00DC0324" w:rsidRDefault="00615D43">
            <w:pPr>
              <w:pStyle w:val="normal0"/>
              <w:numPr>
                <w:ilvl w:val="0"/>
                <w:numId w:val="1"/>
              </w:numPr>
              <w:spacing w:after="200" w:line="276" w:lineRule="auto"/>
              <w:ind w:hanging="359"/>
              <w:contextualSpacing/>
              <w:rPr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opportunities to use evidence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9. Develop their own opinion on the topic based on the ideas shared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Vocabulary: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Academic conversation</w:t>
            </w:r>
            <w:r>
              <w:rPr>
                <w:rFonts w:ascii="Cambria" w:eastAsia="Cambria" w:hAnsi="Cambria" w:cs="Cambria"/>
              </w:rPr>
              <w:t>a more formal discussion about a certain topic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</w:rPr>
              <w:t>Active listeningpaying attention to the views and ideas of others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Effort Story/Information: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Dalton Sherman-Do You Believe In Me?</w:t>
            </w:r>
          </w:p>
          <w:p w:rsidR="00DC0324" w:rsidRDefault="00DC0324">
            <w:pPr>
              <w:pStyle w:val="normal0"/>
            </w:pPr>
            <w:hyperlink r:id="rId8">
              <w:r w:rsidR="00615D43">
                <w:rPr>
                  <w:rFonts w:ascii="Cambria" w:eastAsia="Cambria" w:hAnsi="Cambria" w:cs="Cambria"/>
                  <w:color w:val="0000FF"/>
                  <w:sz w:val="24"/>
                  <w:u w:val="single"/>
                </w:rPr>
                <w:t>http:</w:t>
              </w:r>
              <w:r w:rsidR="00615D43">
                <w:rPr>
                  <w:rFonts w:ascii="Cambria" w:eastAsia="Cambria" w:hAnsi="Cambria" w:cs="Cambria"/>
                  <w:color w:val="0000FF"/>
                  <w:sz w:val="24"/>
                  <w:u w:val="single"/>
                </w:rPr>
                <w:t>//www.teachertube.com/viewVideo.php?video_id=120604</w:t>
              </w:r>
            </w:hyperlink>
            <w:hyperlink r:id="rId9"/>
          </w:p>
          <w:p w:rsidR="00DC0324" w:rsidRDefault="00DC0324">
            <w:pPr>
              <w:pStyle w:val="normal0"/>
            </w:pPr>
            <w:hyperlink r:id="rId10"/>
          </w:p>
        </w:tc>
        <w:tc>
          <w:tcPr>
            <w:tcW w:w="3240" w:type="dxa"/>
          </w:tcPr>
          <w:p w:rsidR="00DC0324" w:rsidRDefault="00615D43">
            <w:pPr>
              <w:pStyle w:val="normal0"/>
            </w:pPr>
            <w:r>
              <w:rPr>
                <w:sz w:val="24"/>
              </w:rPr>
              <w:lastRenderedPageBreak/>
              <w:t>*</w:t>
            </w:r>
            <w:hyperlink r:id="rId11">
              <w:r>
                <w:rPr>
                  <w:color w:val="0000FF"/>
                  <w:sz w:val="24"/>
                  <w:u w:val="single"/>
                </w:rPr>
                <w:t>http://readingandwritingproject.com/resources/common-core-standards/ccs-videos.html</w:t>
              </w:r>
            </w:hyperlink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(Academic conversations videos)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sz w:val="24"/>
              </w:rPr>
              <w:t>*Scholastic Scope debate article</w:t>
            </w:r>
          </w:p>
        </w:tc>
      </w:tr>
      <w:tr w:rsidR="00DC0324">
        <w:tc>
          <w:tcPr>
            <w:tcW w:w="2700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Formative Assessment(s):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-Participation in academic conversation and reflection on their participation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2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</w:tr>
      <w:tr w:rsidR="00DC0324">
        <w:tc>
          <w:tcPr>
            <w:tcW w:w="2700" w:type="dxa"/>
            <w:shd w:val="clear" w:color="auto" w:fill="92CDDC"/>
          </w:tcPr>
          <w:p w:rsidR="00DC0324" w:rsidRDefault="00615D43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Week Two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2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</w:tr>
      <w:tr w:rsidR="00DC0324">
        <w:tc>
          <w:tcPr>
            <w:tcW w:w="270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Learning Experience #1 – Days 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2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</w:tr>
      <w:tr w:rsidR="00DC0324">
        <w:tc>
          <w:tcPr>
            <w:tcW w:w="270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Standard(s), GLE, and EO Addressed:</w:t>
            </w:r>
          </w:p>
        </w:tc>
        <w:tc>
          <w:tcPr>
            <w:tcW w:w="72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DOK</w:t>
            </w:r>
          </w:p>
        </w:tc>
        <w:tc>
          <w:tcPr>
            <w:tcW w:w="144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Guiding Question(s)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12"/>
              </w:rPr>
              <w:t>(Factual/Conceptual)</w:t>
            </w:r>
          </w:p>
        </w:tc>
        <w:tc>
          <w:tcPr>
            <w:tcW w:w="198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Objective(s)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4"/>
              </w:rPr>
              <w:t>By the end of the learning we will:</w:t>
            </w:r>
          </w:p>
        </w:tc>
        <w:tc>
          <w:tcPr>
            <w:tcW w:w="369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Activities, Vocabulary, and Effort</w:t>
            </w:r>
          </w:p>
        </w:tc>
        <w:tc>
          <w:tcPr>
            <w:tcW w:w="324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Resources (Books, materials, apps., websites, hands-on manipulatives)</w:t>
            </w:r>
          </w:p>
        </w:tc>
      </w:tr>
      <w:tr w:rsidR="00DC0324">
        <w:trPr>
          <w:trHeight w:val="6560"/>
        </w:trPr>
        <w:tc>
          <w:tcPr>
            <w:tcW w:w="2700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</w:rPr>
              <w:lastRenderedPageBreak/>
              <w:t>Standard 2: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Reading for all purposes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</w:rPr>
              <w:t>GLE.1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Literary texts are understood and interpreted using a range of strategies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</w:rPr>
              <w:t>Evidence Outcomes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a. Use pre-reading strategies, such as identifying a purpose for reading, generating questions to answers while reading, previewing sections of texts and activating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prior knowledge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b.i. Quote accurately from a text when explaining what the text says explicitly and when drawing inferences from the text. (CCSS: RL.5.1)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c.v. Locate information to support opinions, predictions, inferences, and identification of the autho</w:t>
            </w:r>
            <w:r>
              <w:rPr>
                <w:rFonts w:ascii="Cambria" w:eastAsia="Cambria" w:hAnsi="Cambria" w:cs="Cambria"/>
                <w:i/>
                <w:sz w:val="20"/>
              </w:rPr>
              <w:t>r’s message or theme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</w:rPr>
              <w:t>GLE.2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Ideas found in a variety of informational texts need to be compared and understood</w:t>
            </w:r>
          </w:p>
          <w:p w:rsidR="00DC0324" w:rsidRDefault="00615D43">
            <w:pPr>
              <w:pStyle w:val="normal0"/>
            </w:pPr>
            <w:r>
              <w:rPr>
                <w:b/>
                <w:sz w:val="20"/>
              </w:rPr>
              <w:t>Evidence Outcomes</w:t>
            </w:r>
          </w:p>
          <w:p w:rsidR="00DC0324" w:rsidRDefault="00615D43">
            <w:pPr>
              <w:pStyle w:val="normal0"/>
            </w:pPr>
            <w:r>
              <w:rPr>
                <w:i/>
                <w:sz w:val="20"/>
              </w:rPr>
              <w:t xml:space="preserve">b.iv.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Use informational text features (such as bold type, headings, graphic organizers,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numbering schemes, glossary) and text structures to organize or categorize information, to answer questions, or to perform specific tasks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</w:tc>
        <w:tc>
          <w:tcPr>
            <w:tcW w:w="720" w:type="dxa"/>
          </w:tcPr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i/>
                <w:sz w:val="24"/>
              </w:rPr>
              <w:t xml:space="preserve"> 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i/>
                <w:sz w:val="24"/>
              </w:rPr>
              <w:t>2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i/>
                <w:sz w:val="24"/>
              </w:rPr>
              <w:t>2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i/>
                <w:sz w:val="24"/>
              </w:rPr>
              <w:t>2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4"/>
              </w:rPr>
              <w:t>2</w:t>
            </w:r>
          </w:p>
        </w:tc>
        <w:tc>
          <w:tcPr>
            <w:tcW w:w="1440" w:type="dxa"/>
          </w:tcPr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*How can visualizing improve our comprehension?</w:t>
            </w:r>
          </w:p>
        </w:tc>
        <w:tc>
          <w:tcPr>
            <w:tcW w:w="1980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KNOW: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- the definition of visualizing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UNDERSTAND: 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 that creating a picture in our head as we read  improves our understanding of the text and helps us recall information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BE ABLE TO DO: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-visualize information from the text and communicate it to others (throu</w:t>
            </w:r>
            <w:r>
              <w:rPr>
                <w:rFonts w:ascii="Cambria" w:eastAsia="Cambria" w:hAnsi="Cambria" w:cs="Cambria"/>
                <w:sz w:val="24"/>
              </w:rPr>
              <w:t>gh conversation or writing)</w:t>
            </w:r>
          </w:p>
        </w:tc>
        <w:tc>
          <w:tcPr>
            <w:tcW w:w="3690" w:type="dxa"/>
          </w:tcPr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1. 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2. 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3. 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4.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5.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6.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Vocabulary: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Effort Story/Information: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</w:tc>
        <w:tc>
          <w:tcPr>
            <w:tcW w:w="3240" w:type="dxa"/>
          </w:tcPr>
          <w:p w:rsidR="00DC0324" w:rsidRDefault="00DC0324">
            <w:pPr>
              <w:pStyle w:val="normal0"/>
            </w:pPr>
          </w:p>
        </w:tc>
      </w:tr>
      <w:tr w:rsidR="00DC0324">
        <w:tc>
          <w:tcPr>
            <w:tcW w:w="2700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Formative Assessment(s):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2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</w:tr>
    </w:tbl>
    <w:p w:rsidR="00DC0324" w:rsidRDefault="00DC0324">
      <w:pPr>
        <w:pStyle w:val="normal0"/>
      </w:pPr>
    </w:p>
    <w:p w:rsidR="00DC0324" w:rsidRDefault="00DC0324">
      <w:pPr>
        <w:pStyle w:val="normal0"/>
      </w:pPr>
    </w:p>
    <w:p w:rsidR="00DC0324" w:rsidRDefault="00DC0324">
      <w:pPr>
        <w:pStyle w:val="normal0"/>
      </w:pPr>
    </w:p>
    <w:tbl>
      <w:tblPr>
        <w:tblStyle w:val="a7"/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00"/>
        <w:gridCol w:w="720"/>
        <w:gridCol w:w="1440"/>
        <w:gridCol w:w="1980"/>
        <w:gridCol w:w="3690"/>
        <w:gridCol w:w="3240"/>
      </w:tblGrid>
      <w:tr w:rsidR="00DC0324">
        <w:tc>
          <w:tcPr>
            <w:tcW w:w="2700" w:type="dxa"/>
            <w:shd w:val="clear" w:color="auto" w:fill="92CDDC"/>
          </w:tcPr>
          <w:p w:rsidR="00DC0324" w:rsidRDefault="00615D43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Week Three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2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</w:tr>
      <w:tr w:rsidR="00DC0324">
        <w:tc>
          <w:tcPr>
            <w:tcW w:w="270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Learning Experience #1 – Days 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2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</w:tr>
      <w:tr w:rsidR="00DC0324">
        <w:tc>
          <w:tcPr>
            <w:tcW w:w="270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Standard(s), GLE, and EO Addressed:</w:t>
            </w:r>
          </w:p>
        </w:tc>
        <w:tc>
          <w:tcPr>
            <w:tcW w:w="72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DOK</w:t>
            </w:r>
          </w:p>
        </w:tc>
        <w:tc>
          <w:tcPr>
            <w:tcW w:w="144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Guiding Question(s)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12"/>
              </w:rPr>
              <w:t>(Factual/Conceptual)</w:t>
            </w:r>
          </w:p>
        </w:tc>
        <w:tc>
          <w:tcPr>
            <w:tcW w:w="198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Objective(s)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4"/>
              </w:rPr>
              <w:t>By the end of the learning we will:</w:t>
            </w:r>
          </w:p>
        </w:tc>
        <w:tc>
          <w:tcPr>
            <w:tcW w:w="369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Activities, Vocabulary, and Effort</w:t>
            </w:r>
          </w:p>
        </w:tc>
        <w:tc>
          <w:tcPr>
            <w:tcW w:w="324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Resources (Books, materials, apps., websites, hands-on manipulatives)</w:t>
            </w:r>
          </w:p>
        </w:tc>
      </w:tr>
      <w:tr w:rsidR="00DC0324">
        <w:trPr>
          <w:trHeight w:val="6560"/>
        </w:trPr>
        <w:tc>
          <w:tcPr>
            <w:tcW w:w="2700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</w:rPr>
              <w:t>Standard 2: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Reading for all purposes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</w:rPr>
              <w:t>GLE.1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Literary texts are understood and interpreted using a range of strategies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</w:rPr>
              <w:t>Evidence Outcomes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a. Use pre-reading strategies, such as identifying a purpose for reading, generating questions to answers while reading, previewing sections of texts and activating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 prior knowledge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b.i. Quote accurately from a text when explaining what the text says explicitly and when drawing inferences from the text. (CCSS: RL.5.1)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c.v. Locate information to support opinions, predictions, inferences, and identification of the autho</w:t>
            </w:r>
            <w:r>
              <w:rPr>
                <w:rFonts w:ascii="Cambria" w:eastAsia="Cambria" w:hAnsi="Cambria" w:cs="Cambria"/>
                <w:i/>
                <w:sz w:val="20"/>
              </w:rPr>
              <w:t>r’s message or theme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b/>
                <w:sz w:val="20"/>
              </w:rPr>
              <w:t>GLE.2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Ideas found in a variety of informational texts need to be compared and understood</w:t>
            </w:r>
          </w:p>
          <w:p w:rsidR="00DC0324" w:rsidRDefault="00615D43">
            <w:pPr>
              <w:pStyle w:val="normal0"/>
            </w:pPr>
            <w:r>
              <w:rPr>
                <w:b/>
                <w:sz w:val="20"/>
              </w:rPr>
              <w:t>Evidence Outcomes</w:t>
            </w:r>
          </w:p>
          <w:p w:rsidR="00DC0324" w:rsidRDefault="00615D43">
            <w:pPr>
              <w:pStyle w:val="normal0"/>
            </w:pPr>
            <w:r>
              <w:rPr>
                <w:i/>
                <w:sz w:val="20"/>
              </w:rPr>
              <w:t xml:space="preserve">b.iv. </w:t>
            </w:r>
            <w:r>
              <w:rPr>
                <w:rFonts w:ascii="Cambria" w:eastAsia="Cambria" w:hAnsi="Cambria" w:cs="Cambria"/>
                <w:i/>
                <w:sz w:val="20"/>
              </w:rPr>
              <w:t xml:space="preserve">Use informational text features (such as bold type, headings, graphic organizers,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0"/>
              </w:rPr>
              <w:t>numbering schemes, glossary) and text structures to organize or categorize information, to answer questions, or to perform specific tasks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</w:tc>
        <w:tc>
          <w:tcPr>
            <w:tcW w:w="720" w:type="dxa"/>
          </w:tcPr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i/>
                <w:sz w:val="24"/>
              </w:rPr>
              <w:t xml:space="preserve"> 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i/>
                <w:sz w:val="24"/>
              </w:rPr>
              <w:t>2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i/>
                <w:sz w:val="24"/>
              </w:rPr>
              <w:t>2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i/>
                <w:sz w:val="24"/>
              </w:rPr>
              <w:t>2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4"/>
              </w:rPr>
              <w:t>2</w:t>
            </w:r>
          </w:p>
          <w:p w:rsidR="00DC0324" w:rsidRDefault="00615D43">
            <w:pPr>
              <w:pStyle w:val="normal0"/>
            </w:pPr>
            <w:r>
              <w:rPr>
                <w:i/>
                <w:sz w:val="24"/>
              </w:rPr>
              <w:t xml:space="preserve"> 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</w:tc>
        <w:tc>
          <w:tcPr>
            <w:tcW w:w="1440" w:type="dxa"/>
          </w:tcPr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*How can predicting improve our comprehension?</w:t>
            </w:r>
          </w:p>
        </w:tc>
        <w:tc>
          <w:tcPr>
            <w:tcW w:w="1980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KNOW: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- the definition of predicting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UNDERSTAND: 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 that when I predict it must be logical, I have to defend it and I will know the outcome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BE ABLE TO DO: 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-make a prediction, defend it using evidence from the text and locate the answer in the text</w:t>
            </w:r>
          </w:p>
        </w:tc>
        <w:tc>
          <w:tcPr>
            <w:tcW w:w="3690" w:type="dxa"/>
          </w:tcPr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1. 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2. 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3. 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4.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5.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6.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Vocabulary: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Effort Story/Information: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</w:tc>
        <w:tc>
          <w:tcPr>
            <w:tcW w:w="3240" w:type="dxa"/>
          </w:tcPr>
          <w:p w:rsidR="00DC0324" w:rsidRDefault="00DC0324">
            <w:pPr>
              <w:pStyle w:val="normal0"/>
            </w:pPr>
          </w:p>
        </w:tc>
      </w:tr>
    </w:tbl>
    <w:p w:rsidR="00DC0324" w:rsidRDefault="00DC0324">
      <w:pPr>
        <w:pStyle w:val="normal0"/>
        <w:spacing w:after="0" w:line="240" w:lineRule="auto"/>
      </w:pPr>
    </w:p>
    <w:tbl>
      <w:tblPr>
        <w:tblStyle w:val="a8"/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770"/>
      </w:tblGrid>
      <w:tr w:rsidR="00DC0324">
        <w:tc>
          <w:tcPr>
            <w:tcW w:w="13770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Formative Assessment(s):</w:t>
            </w:r>
          </w:p>
        </w:tc>
      </w:tr>
    </w:tbl>
    <w:p w:rsidR="00DC0324" w:rsidRDefault="00DC0324">
      <w:pPr>
        <w:pStyle w:val="normal0"/>
      </w:pPr>
    </w:p>
    <w:p w:rsidR="00DC0324" w:rsidRDefault="00DC0324">
      <w:pPr>
        <w:pStyle w:val="normal0"/>
      </w:pPr>
    </w:p>
    <w:tbl>
      <w:tblPr>
        <w:tblStyle w:val="a9"/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00"/>
        <w:gridCol w:w="720"/>
        <w:gridCol w:w="1440"/>
        <w:gridCol w:w="1980"/>
        <w:gridCol w:w="3690"/>
        <w:gridCol w:w="3240"/>
      </w:tblGrid>
      <w:tr w:rsidR="00DC0324">
        <w:tc>
          <w:tcPr>
            <w:tcW w:w="2700" w:type="dxa"/>
            <w:shd w:val="clear" w:color="auto" w:fill="92CDDC"/>
          </w:tcPr>
          <w:p w:rsidR="00DC0324" w:rsidRDefault="00615D43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Week Three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2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</w:tr>
      <w:tr w:rsidR="00DC0324">
        <w:tc>
          <w:tcPr>
            <w:tcW w:w="270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Learning Experience #1 – Days 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2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</w:tr>
      <w:tr w:rsidR="00DC0324">
        <w:tc>
          <w:tcPr>
            <w:tcW w:w="270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Standard(s), GLE, and EO Addressed:</w:t>
            </w:r>
          </w:p>
        </w:tc>
        <w:tc>
          <w:tcPr>
            <w:tcW w:w="72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DOK</w:t>
            </w:r>
          </w:p>
        </w:tc>
        <w:tc>
          <w:tcPr>
            <w:tcW w:w="144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Guiding Question(s)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12"/>
              </w:rPr>
              <w:lastRenderedPageBreak/>
              <w:t>(Factual/Conceptual)</w:t>
            </w:r>
          </w:p>
        </w:tc>
        <w:tc>
          <w:tcPr>
            <w:tcW w:w="198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Objective(s)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By the end of the </w:t>
            </w:r>
            <w:r>
              <w:rPr>
                <w:rFonts w:ascii="Cambria" w:eastAsia="Cambria" w:hAnsi="Cambria" w:cs="Cambria"/>
                <w:i/>
                <w:sz w:val="24"/>
              </w:rPr>
              <w:lastRenderedPageBreak/>
              <w:t>learning we will:</w:t>
            </w:r>
          </w:p>
        </w:tc>
        <w:tc>
          <w:tcPr>
            <w:tcW w:w="369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Activities, Vocabulary, and Effort</w:t>
            </w:r>
          </w:p>
        </w:tc>
        <w:tc>
          <w:tcPr>
            <w:tcW w:w="324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Resources (Books, materials, apps., websites, hands-on </w:t>
            </w:r>
            <w:r>
              <w:rPr>
                <w:rFonts w:ascii="Cambria" w:eastAsia="Cambria" w:hAnsi="Cambria" w:cs="Cambria"/>
                <w:sz w:val="24"/>
              </w:rPr>
              <w:lastRenderedPageBreak/>
              <w:t>manipulatives)</w:t>
            </w:r>
          </w:p>
        </w:tc>
      </w:tr>
      <w:tr w:rsidR="00DC0324">
        <w:trPr>
          <w:trHeight w:val="6560"/>
        </w:trPr>
        <w:tc>
          <w:tcPr>
            <w:tcW w:w="2700" w:type="dxa"/>
          </w:tcPr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</w:tc>
        <w:tc>
          <w:tcPr>
            <w:tcW w:w="720" w:type="dxa"/>
          </w:tcPr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i/>
                <w:sz w:val="24"/>
              </w:rPr>
              <w:t xml:space="preserve"> 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</w:tc>
        <w:tc>
          <w:tcPr>
            <w:tcW w:w="1440" w:type="dxa"/>
          </w:tcPr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</w:tc>
        <w:tc>
          <w:tcPr>
            <w:tcW w:w="1980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KNOW: 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UNDERSTAND:  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BE ABLE TO DO:  </w:t>
            </w:r>
          </w:p>
        </w:tc>
        <w:tc>
          <w:tcPr>
            <w:tcW w:w="3690" w:type="dxa"/>
          </w:tcPr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1. 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2. 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3. 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4.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5.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6.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Vocabulary: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Effort Story/Information: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</w:tc>
        <w:tc>
          <w:tcPr>
            <w:tcW w:w="3240" w:type="dxa"/>
          </w:tcPr>
          <w:p w:rsidR="00DC0324" w:rsidRDefault="00DC0324">
            <w:pPr>
              <w:pStyle w:val="normal0"/>
            </w:pPr>
          </w:p>
        </w:tc>
      </w:tr>
    </w:tbl>
    <w:p w:rsidR="00DC0324" w:rsidRDefault="00DC0324">
      <w:pPr>
        <w:pStyle w:val="normal0"/>
      </w:pPr>
    </w:p>
    <w:p w:rsidR="00DC0324" w:rsidRDefault="00DC0324">
      <w:pPr>
        <w:pStyle w:val="normal0"/>
      </w:pPr>
    </w:p>
    <w:p w:rsidR="00DC0324" w:rsidRDefault="00DC0324">
      <w:pPr>
        <w:pStyle w:val="normal0"/>
      </w:pPr>
    </w:p>
    <w:p w:rsidR="00DC0324" w:rsidRDefault="00DC0324">
      <w:pPr>
        <w:pStyle w:val="normal0"/>
      </w:pPr>
    </w:p>
    <w:tbl>
      <w:tblPr>
        <w:tblStyle w:val="aa"/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00"/>
        <w:gridCol w:w="720"/>
        <w:gridCol w:w="1440"/>
        <w:gridCol w:w="1980"/>
        <w:gridCol w:w="3690"/>
        <w:gridCol w:w="3240"/>
      </w:tblGrid>
      <w:tr w:rsidR="00DC0324">
        <w:tc>
          <w:tcPr>
            <w:tcW w:w="2700" w:type="dxa"/>
            <w:shd w:val="clear" w:color="auto" w:fill="92CDDC"/>
          </w:tcPr>
          <w:p w:rsidR="00DC0324" w:rsidRDefault="00615D43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Week Three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2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</w:tr>
      <w:tr w:rsidR="00DC0324">
        <w:tc>
          <w:tcPr>
            <w:tcW w:w="270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Learning Experience #1 </w:t>
            </w: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– Days 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2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</w:tr>
      <w:tr w:rsidR="00DC0324">
        <w:tc>
          <w:tcPr>
            <w:tcW w:w="270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Standard(s), GLE, and EO Addressed:</w:t>
            </w:r>
          </w:p>
        </w:tc>
        <w:tc>
          <w:tcPr>
            <w:tcW w:w="72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DOK</w:t>
            </w:r>
          </w:p>
        </w:tc>
        <w:tc>
          <w:tcPr>
            <w:tcW w:w="144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Guiding Question(s)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12"/>
              </w:rPr>
              <w:t>(Factual/Conceptual)</w:t>
            </w:r>
          </w:p>
        </w:tc>
        <w:tc>
          <w:tcPr>
            <w:tcW w:w="198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Objective(s)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4"/>
              </w:rPr>
              <w:t>By the end of the learning we will:</w:t>
            </w:r>
          </w:p>
        </w:tc>
        <w:tc>
          <w:tcPr>
            <w:tcW w:w="369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Activities, Vocabulary, and Effort</w:t>
            </w:r>
          </w:p>
        </w:tc>
        <w:tc>
          <w:tcPr>
            <w:tcW w:w="324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Resources (Books, materials, apps., websites, hands-on manipulatives)</w:t>
            </w:r>
          </w:p>
        </w:tc>
      </w:tr>
      <w:tr w:rsidR="00DC0324">
        <w:trPr>
          <w:trHeight w:val="6560"/>
        </w:trPr>
        <w:tc>
          <w:tcPr>
            <w:tcW w:w="2700" w:type="dxa"/>
          </w:tcPr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</w:tc>
        <w:tc>
          <w:tcPr>
            <w:tcW w:w="720" w:type="dxa"/>
          </w:tcPr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i/>
                <w:sz w:val="24"/>
              </w:rPr>
              <w:t xml:space="preserve"> 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</w:tc>
        <w:tc>
          <w:tcPr>
            <w:tcW w:w="1440" w:type="dxa"/>
          </w:tcPr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</w:tc>
        <w:tc>
          <w:tcPr>
            <w:tcW w:w="1980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KNOW: 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UNDERSTAND:  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BE ABLE TO DO:  </w:t>
            </w:r>
          </w:p>
        </w:tc>
        <w:tc>
          <w:tcPr>
            <w:tcW w:w="3690" w:type="dxa"/>
          </w:tcPr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1. 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2. 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3. 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4.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5.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6.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Vocabulary: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Effort Story/Information: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</w:tc>
        <w:tc>
          <w:tcPr>
            <w:tcW w:w="3240" w:type="dxa"/>
          </w:tcPr>
          <w:p w:rsidR="00DC0324" w:rsidRDefault="00DC0324">
            <w:pPr>
              <w:pStyle w:val="normal0"/>
            </w:pPr>
          </w:p>
        </w:tc>
      </w:tr>
    </w:tbl>
    <w:p w:rsidR="00DC0324" w:rsidRDefault="00DC0324">
      <w:pPr>
        <w:pStyle w:val="normal0"/>
      </w:pPr>
    </w:p>
    <w:p w:rsidR="00DC0324" w:rsidRDefault="00DC0324">
      <w:pPr>
        <w:pStyle w:val="normal0"/>
      </w:pPr>
    </w:p>
    <w:p w:rsidR="00DC0324" w:rsidRDefault="00DC0324">
      <w:pPr>
        <w:pStyle w:val="normal0"/>
      </w:pPr>
    </w:p>
    <w:p w:rsidR="00DC0324" w:rsidRDefault="00DC0324">
      <w:pPr>
        <w:pStyle w:val="normal0"/>
      </w:pPr>
    </w:p>
    <w:tbl>
      <w:tblPr>
        <w:tblStyle w:val="ab"/>
        <w:tblW w:w="13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00"/>
        <w:gridCol w:w="720"/>
        <w:gridCol w:w="1440"/>
        <w:gridCol w:w="1980"/>
        <w:gridCol w:w="3690"/>
        <w:gridCol w:w="3240"/>
      </w:tblGrid>
      <w:tr w:rsidR="00DC0324">
        <w:tc>
          <w:tcPr>
            <w:tcW w:w="2700" w:type="dxa"/>
            <w:shd w:val="clear" w:color="auto" w:fill="92CDDC"/>
          </w:tcPr>
          <w:p w:rsidR="00DC0324" w:rsidRDefault="00615D43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Week Three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2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</w:tr>
      <w:tr w:rsidR="00DC0324">
        <w:tc>
          <w:tcPr>
            <w:tcW w:w="270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Learning Experience #1 – Days </w:t>
            </w:r>
          </w:p>
        </w:tc>
        <w:tc>
          <w:tcPr>
            <w:tcW w:w="72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69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3240" w:type="dxa"/>
            <w:tcMar>
              <w:left w:w="115" w:type="dxa"/>
              <w:right w:w="115" w:type="dxa"/>
            </w:tcMar>
          </w:tcPr>
          <w:p w:rsidR="00DC0324" w:rsidRDefault="00DC0324">
            <w:pPr>
              <w:pStyle w:val="normal0"/>
              <w:widowControl w:val="0"/>
              <w:spacing w:after="200" w:line="276" w:lineRule="auto"/>
            </w:pPr>
          </w:p>
        </w:tc>
      </w:tr>
      <w:tr w:rsidR="00DC0324">
        <w:tc>
          <w:tcPr>
            <w:tcW w:w="270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Standard(s), GLE, and EO Addressed:</w:t>
            </w:r>
          </w:p>
        </w:tc>
        <w:tc>
          <w:tcPr>
            <w:tcW w:w="72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DOK</w:t>
            </w:r>
          </w:p>
        </w:tc>
        <w:tc>
          <w:tcPr>
            <w:tcW w:w="144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Guiding Question(s)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12"/>
              </w:rPr>
              <w:t>(Factual/Conceptual)</w:t>
            </w:r>
          </w:p>
        </w:tc>
        <w:tc>
          <w:tcPr>
            <w:tcW w:w="198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Objective(s)</w:t>
            </w: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i/>
                <w:sz w:val="24"/>
              </w:rPr>
              <w:t>By the end of the learning we will:</w:t>
            </w:r>
          </w:p>
        </w:tc>
        <w:tc>
          <w:tcPr>
            <w:tcW w:w="369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Activities, Vocabulary, and Effort</w:t>
            </w:r>
          </w:p>
        </w:tc>
        <w:tc>
          <w:tcPr>
            <w:tcW w:w="3240" w:type="dxa"/>
            <w:shd w:val="clear" w:color="auto" w:fill="DAEEF3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Resources (Books, materials, apps., websites, hands-on manipulatives)</w:t>
            </w:r>
          </w:p>
        </w:tc>
      </w:tr>
      <w:tr w:rsidR="00DC0324">
        <w:trPr>
          <w:trHeight w:val="6560"/>
        </w:trPr>
        <w:tc>
          <w:tcPr>
            <w:tcW w:w="2700" w:type="dxa"/>
          </w:tcPr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  <w:bookmarkStart w:id="0" w:name="h.gjdgxs" w:colFirst="0" w:colLast="0"/>
            <w:bookmarkEnd w:id="0"/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</w:tc>
        <w:tc>
          <w:tcPr>
            <w:tcW w:w="720" w:type="dxa"/>
          </w:tcPr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i/>
                <w:sz w:val="24"/>
              </w:rPr>
              <w:t xml:space="preserve"> 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</w:tc>
        <w:tc>
          <w:tcPr>
            <w:tcW w:w="1440" w:type="dxa"/>
          </w:tcPr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</w:tc>
        <w:tc>
          <w:tcPr>
            <w:tcW w:w="1980" w:type="dxa"/>
          </w:tcPr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KNOW: 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UNDERSTAND:  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BE ABLE TO DO:  </w:t>
            </w:r>
          </w:p>
        </w:tc>
        <w:tc>
          <w:tcPr>
            <w:tcW w:w="3690" w:type="dxa"/>
          </w:tcPr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1. 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2. 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 xml:space="preserve">3. 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4.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5.</w:t>
            </w: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6.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Vocabulary: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615D43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Effort Story/Information:</w:t>
            </w: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  <w:p w:rsidR="00DC0324" w:rsidRDefault="00DC0324">
            <w:pPr>
              <w:pStyle w:val="normal0"/>
            </w:pPr>
          </w:p>
        </w:tc>
        <w:tc>
          <w:tcPr>
            <w:tcW w:w="3240" w:type="dxa"/>
          </w:tcPr>
          <w:p w:rsidR="00DC0324" w:rsidRDefault="00DC0324">
            <w:pPr>
              <w:pStyle w:val="normal0"/>
            </w:pPr>
          </w:p>
        </w:tc>
      </w:tr>
    </w:tbl>
    <w:p w:rsidR="00DC0324" w:rsidRDefault="00DC0324">
      <w:pPr>
        <w:pStyle w:val="normal0"/>
      </w:pPr>
    </w:p>
    <w:sectPr w:rsidR="00DC0324" w:rsidSect="00DC0324">
      <w:footerReference w:type="default" r:id="rId12"/>
      <w:pgSz w:w="15840" w:h="122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43" w:rsidRDefault="00615D43" w:rsidP="00DC0324">
      <w:pPr>
        <w:spacing w:after="0" w:line="240" w:lineRule="auto"/>
      </w:pPr>
      <w:r>
        <w:separator/>
      </w:r>
    </w:p>
  </w:endnote>
  <w:endnote w:type="continuationSeparator" w:id="0">
    <w:p w:rsidR="00615D43" w:rsidRDefault="00615D43" w:rsidP="00DC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24" w:rsidRDefault="00615D43">
    <w:pPr>
      <w:pStyle w:val="normal0"/>
      <w:tabs>
        <w:tab w:val="center" w:pos="4680"/>
        <w:tab w:val="right" w:pos="9360"/>
      </w:tabs>
      <w:spacing w:after="0" w:line="240" w:lineRule="auto"/>
    </w:pPr>
    <w:r>
      <w:rPr>
        <w:rFonts w:ascii="Cambria" w:eastAsia="Cambria" w:hAnsi="Cambria" w:cs="Cambria"/>
      </w:rPr>
      <w:t xml:space="preserve">Weld RE-1 Unit/Weekly Planning TemplatePage </w:t>
    </w:r>
    <w:fldSimple w:instr="PAGE">
      <w:r w:rsidR="001E18EB">
        <w:rPr>
          <w:noProof/>
        </w:rPr>
        <w:t>2</w:t>
      </w:r>
    </w:fldSimple>
  </w:p>
  <w:p w:rsidR="00DC0324" w:rsidRDefault="00DC0324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43" w:rsidRDefault="00615D43" w:rsidP="00DC0324">
      <w:pPr>
        <w:spacing w:after="0" w:line="240" w:lineRule="auto"/>
      </w:pPr>
      <w:r>
        <w:separator/>
      </w:r>
    </w:p>
  </w:footnote>
  <w:footnote w:type="continuationSeparator" w:id="0">
    <w:p w:rsidR="00615D43" w:rsidRDefault="00615D43" w:rsidP="00DC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395"/>
    <w:multiLevelType w:val="multilevel"/>
    <w:tmpl w:val="2FCE7AD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324"/>
    <w:rsid w:val="001E18EB"/>
    <w:rsid w:val="00615D43"/>
    <w:rsid w:val="00DC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C032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DC032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DC032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DC032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DC032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DC032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C0324"/>
  </w:style>
  <w:style w:type="paragraph" w:styleId="Title">
    <w:name w:val="Title"/>
    <w:basedOn w:val="normal0"/>
    <w:next w:val="normal0"/>
    <w:rsid w:val="00DC0324"/>
    <w:pPr>
      <w:keepNext/>
      <w:keepLines/>
      <w:spacing w:after="300" w:line="240" w:lineRule="auto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0"/>
    <w:next w:val="normal0"/>
    <w:rsid w:val="00DC032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DC03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C03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C0324"/>
    <w:tblPr>
      <w:tblStyleRowBandSize w:val="1"/>
      <w:tblStyleColBandSize w:val="1"/>
      <w:tblInd w:w="0" w:type="dxa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rsid w:val="00DC03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DC03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DC03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DC03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C03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DC03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DC03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DC03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DC03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DC03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tube.com/viewVideo.php?video_id=1206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dingandwritingproject.com/resources/common-core-standards/ccs-video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adingandwritingproject.com/resources/common-core-standards/ccs-video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achertube.com/viewVideo.php?video_id=120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ertube.com/viewVideo.php?video_id=120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2115</Words>
  <Characters>12059</Characters>
  <Application>Microsoft Office Word</Application>
  <DocSecurity>0</DocSecurity>
  <Lines>100</Lines>
  <Paragraphs>28</Paragraphs>
  <ScaleCrop>false</ScaleCrop>
  <Company>Weld Re-1</Company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5th-ELA- Stories Worth Telling.docx</dc:title>
  <cp:lastModifiedBy>Mary Meersman</cp:lastModifiedBy>
  <cp:revision>2</cp:revision>
  <dcterms:created xsi:type="dcterms:W3CDTF">2014-06-09T17:12:00Z</dcterms:created>
  <dcterms:modified xsi:type="dcterms:W3CDTF">2014-06-09T17:12:00Z</dcterms:modified>
</cp:coreProperties>
</file>