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4DAA" w:rsidRDefault="00C423E9">
      <w:pPr>
        <w:pStyle w:val="Title"/>
      </w:pPr>
      <w:bookmarkStart w:id="0" w:name="h.gjdgxs" w:colFirst="0" w:colLast="0"/>
      <w:bookmarkEnd w:id="0"/>
      <w:r>
        <w:rPr>
          <w:sz w:val="32"/>
        </w:rPr>
        <w:t xml:space="preserve">Weld County </w:t>
      </w:r>
      <w:r w:rsidRPr="00750F12">
        <w:rPr>
          <w:i/>
          <w:sz w:val="32"/>
        </w:rPr>
        <w:t>School</w:t>
      </w:r>
      <w:r>
        <w:rPr>
          <w:sz w:val="32"/>
        </w:rPr>
        <w:t xml:space="preserve"> District RE-1    </w:t>
      </w:r>
      <w:r>
        <w:rPr>
          <w:i/>
          <w:sz w:val="28"/>
        </w:rPr>
        <w:t>Unit/Weekly Planning Template</w:t>
      </w:r>
      <w:r w:rsidR="00752E8F">
        <w:rPr>
          <w:i/>
          <w:sz w:val="28"/>
        </w:rPr>
        <w:t xml:space="preserve"> </w:t>
      </w:r>
      <w:r w:rsidR="001A7780">
        <w:rPr>
          <w:i/>
          <w:sz w:val="28"/>
        </w:rPr>
        <w:t>–</w:t>
      </w:r>
      <w:r w:rsidR="00752E8F">
        <w:rPr>
          <w:i/>
          <w:sz w:val="28"/>
        </w:rPr>
        <w:t xml:space="preserve"> </w:t>
      </w:r>
      <w:r w:rsidR="001A7780">
        <w:rPr>
          <w:i/>
          <w:sz w:val="28"/>
        </w:rPr>
        <w:t>Planning Guide</w:t>
      </w:r>
    </w:p>
    <w:p w:rsidR="00DC4DAA" w:rsidRDefault="00C423E9">
      <w:pPr>
        <w:pStyle w:val="normal0"/>
        <w:spacing w:after="0" w:line="360" w:lineRule="auto"/>
      </w:pPr>
      <w:r>
        <w:rPr>
          <w:rFonts w:ascii="Cambria" w:eastAsia="Cambria" w:hAnsi="Cambria" w:cs="Cambria"/>
          <w:b/>
          <w:sz w:val="24"/>
        </w:rPr>
        <w:t xml:space="preserve">Grade and Content Area:  </w:t>
      </w:r>
    </w:p>
    <w:p w:rsidR="001A7780" w:rsidRPr="001A7780" w:rsidRDefault="00C423E9" w:rsidP="00750F12">
      <w:pPr>
        <w:pStyle w:val="normal0"/>
        <w:spacing w:before="240" w:after="0"/>
        <w:rPr>
          <w:rFonts w:ascii="Cambria" w:eastAsia="Cambria" w:hAnsi="Cambria" w:cs="Cambria"/>
          <w:i/>
          <w:sz w:val="24"/>
        </w:rPr>
      </w:pPr>
      <w:r>
        <w:rPr>
          <w:rFonts w:ascii="Cambria" w:eastAsia="Cambria" w:hAnsi="Cambria" w:cs="Cambria"/>
          <w:b/>
          <w:sz w:val="24"/>
        </w:rPr>
        <w:t xml:space="preserve">Unit Title:  </w:t>
      </w:r>
      <w:r w:rsidR="00750F12">
        <w:rPr>
          <w:rFonts w:ascii="Cambria" w:eastAsia="Cambria" w:hAnsi="Cambria" w:cs="Cambria"/>
          <w:i/>
          <w:sz w:val="24"/>
        </w:rPr>
        <w:t>These titles come from Colorado’s Instructional Unit Samples (</w:t>
      </w:r>
      <w:r w:rsidR="001A7780" w:rsidRPr="001A7780">
        <w:rPr>
          <w:rFonts w:ascii="Cambria" w:eastAsia="Cambria" w:hAnsi="Cambria" w:cs="Cambria"/>
          <w:i/>
          <w:szCs w:val="22"/>
        </w:rPr>
        <w:t>The engaging title of each unit to be taught over the course of many weeks</w:t>
      </w:r>
      <w:r w:rsidR="001A7780" w:rsidRPr="001A7780">
        <w:rPr>
          <w:rFonts w:ascii="Cambria" w:eastAsia="Cambria" w:hAnsi="Cambria" w:cs="Cambria"/>
          <w:i/>
          <w:sz w:val="24"/>
        </w:rPr>
        <w:t>.</w:t>
      </w:r>
      <w:r w:rsidR="00750F12">
        <w:rPr>
          <w:rFonts w:ascii="Cambria" w:eastAsia="Cambria" w:hAnsi="Cambria" w:cs="Cambria"/>
          <w:i/>
          <w:sz w:val="24"/>
        </w:rPr>
        <w:t>)</w:t>
      </w:r>
    </w:p>
    <w:p w:rsidR="00DC4DAA" w:rsidRDefault="00C423E9" w:rsidP="004A34C1">
      <w:pPr>
        <w:pStyle w:val="normal0"/>
        <w:spacing w:after="0" w:line="240" w:lineRule="auto"/>
        <w:rPr>
          <w:rFonts w:ascii="Cambria" w:eastAsia="Cambria" w:hAnsi="Cambria" w:cs="Cambria"/>
          <w:i/>
          <w:szCs w:val="22"/>
        </w:rPr>
      </w:pPr>
      <w:r>
        <w:rPr>
          <w:rFonts w:ascii="Cambria" w:eastAsia="Cambria" w:hAnsi="Cambria" w:cs="Cambria"/>
          <w:b/>
          <w:sz w:val="24"/>
        </w:rPr>
        <w:t xml:space="preserve">Length of Unit:  </w:t>
      </w:r>
      <w:r w:rsidR="00750F12">
        <w:rPr>
          <w:rFonts w:ascii="Cambria" w:eastAsia="Cambria" w:hAnsi="Cambria" w:cs="Cambria"/>
          <w:i/>
          <w:sz w:val="24"/>
        </w:rPr>
        <w:t xml:space="preserve">The suggested length of the unit comes from Colorado’s Instructional Unit Samples.  </w:t>
      </w:r>
      <w:r w:rsidR="00750F12">
        <w:rPr>
          <w:rFonts w:ascii="Cambria" w:eastAsia="Cambria" w:hAnsi="Cambria" w:cs="Cambria"/>
          <w:b/>
          <w:i/>
          <w:sz w:val="24"/>
        </w:rPr>
        <w:t xml:space="preserve">Keep in mind Weld RE-1 is on a 4-day week. </w:t>
      </w:r>
      <w:r w:rsidR="004A34C1">
        <w:rPr>
          <w:rFonts w:ascii="Cambria" w:eastAsia="Cambria" w:hAnsi="Cambria" w:cs="Cambria"/>
          <w:i/>
          <w:sz w:val="24"/>
        </w:rPr>
        <w:t>(</w:t>
      </w:r>
      <w:r w:rsidR="001A7780" w:rsidRPr="00750F12">
        <w:rPr>
          <w:rFonts w:ascii="Cambria" w:eastAsia="Cambria" w:hAnsi="Cambria" w:cs="Cambria"/>
          <w:i/>
          <w:szCs w:val="22"/>
        </w:rPr>
        <w:t>The approximate/suggested teaching time required for this unit.</w:t>
      </w:r>
      <w:r w:rsidR="004A34C1">
        <w:rPr>
          <w:rFonts w:ascii="Cambria" w:eastAsia="Cambria" w:hAnsi="Cambria" w:cs="Cambria"/>
          <w:i/>
          <w:szCs w:val="22"/>
        </w:rPr>
        <w:t xml:space="preserve">) The length of the unit should align with scope and sequence for this content </w:t>
      </w:r>
      <w:r w:rsidR="006537F1">
        <w:rPr>
          <w:rFonts w:ascii="Cambria" w:eastAsia="Cambria" w:hAnsi="Cambria" w:cs="Cambria"/>
          <w:i/>
          <w:szCs w:val="22"/>
        </w:rPr>
        <w:t>and grade</w:t>
      </w:r>
      <w:r w:rsidR="004A34C1">
        <w:rPr>
          <w:rFonts w:ascii="Cambria" w:eastAsia="Cambria" w:hAnsi="Cambria" w:cs="Cambria"/>
          <w:i/>
          <w:szCs w:val="22"/>
        </w:rPr>
        <w:t xml:space="preserve"> level.</w:t>
      </w:r>
    </w:p>
    <w:p w:rsidR="004A34C1" w:rsidRPr="001A7780" w:rsidRDefault="004A34C1" w:rsidP="004A34C1">
      <w:pPr>
        <w:pStyle w:val="normal0"/>
        <w:spacing w:after="0" w:line="240" w:lineRule="auto"/>
        <w:rPr>
          <w:i/>
          <w:szCs w:val="22"/>
        </w:rPr>
      </w:pPr>
    </w:p>
    <w:p w:rsidR="00DC4DAA" w:rsidRPr="004A34C1" w:rsidRDefault="00C423E9">
      <w:pPr>
        <w:pStyle w:val="normal0"/>
        <w:spacing w:after="0" w:line="240" w:lineRule="auto"/>
        <w:rPr>
          <w:i/>
        </w:rPr>
      </w:pPr>
      <w:r>
        <w:rPr>
          <w:rFonts w:ascii="Cambria" w:eastAsia="Cambria" w:hAnsi="Cambria" w:cs="Cambria"/>
          <w:b/>
          <w:sz w:val="24"/>
        </w:rPr>
        <w:t>Unit Description</w:t>
      </w:r>
      <w:r w:rsidR="001A7780">
        <w:rPr>
          <w:rFonts w:ascii="Cambria" w:eastAsia="Cambria" w:hAnsi="Cambria" w:cs="Cambria"/>
          <w:b/>
          <w:sz w:val="24"/>
        </w:rPr>
        <w:t xml:space="preserve">: </w:t>
      </w:r>
      <w:r w:rsidR="004A34C1">
        <w:rPr>
          <w:rFonts w:ascii="Cambria" w:eastAsia="Cambria" w:hAnsi="Cambria" w:cs="Cambria"/>
          <w:i/>
          <w:sz w:val="24"/>
        </w:rPr>
        <w:t>The overview of the essential learning and teaching for this unit.</w:t>
      </w:r>
    </w:p>
    <w:p w:rsidR="00DC4DAA" w:rsidRDefault="00DC4DAA">
      <w:pPr>
        <w:pStyle w:val="normal0"/>
        <w:spacing w:after="0" w:line="240" w:lineRule="auto"/>
      </w:pPr>
    </w:p>
    <w:p w:rsidR="00DC4DAA" w:rsidRDefault="00C423E9">
      <w:pPr>
        <w:pStyle w:val="normal0"/>
        <w:spacing w:after="0" w:line="240" w:lineRule="auto"/>
      </w:pPr>
      <w:r>
        <w:rPr>
          <w:rFonts w:ascii="Cambria" w:eastAsia="Cambria" w:hAnsi="Cambria" w:cs="Cambria"/>
          <w:b/>
          <w:sz w:val="24"/>
        </w:rPr>
        <w:t>Prior Knowledge and Experiences:</w:t>
      </w:r>
    </w:p>
    <w:p w:rsidR="00DC4DAA" w:rsidRPr="004A34C1" w:rsidRDefault="00513208">
      <w:pPr>
        <w:pStyle w:val="normal0"/>
        <w:spacing w:after="0" w:line="240" w:lineRule="auto"/>
        <w:rPr>
          <w:rFonts w:asciiTheme="majorHAnsi" w:hAnsiTheme="majorHAnsi"/>
          <w:i/>
          <w:sz w:val="24"/>
          <w:szCs w:val="24"/>
        </w:rPr>
      </w:pPr>
      <w:r w:rsidRPr="004A34C1">
        <w:rPr>
          <w:rFonts w:asciiTheme="majorHAnsi" w:hAnsiTheme="majorHAnsi"/>
          <w:i/>
          <w:sz w:val="24"/>
          <w:szCs w:val="24"/>
        </w:rPr>
        <w:t xml:space="preserve">The description of the working knowledge and skills necessary for students to access the learning experiences throughout the unit.  Teachers will use their professional judgment and knowledge of their students (including information gained from relevant pre-assessments) to determine the kinds of introductory learning experiences and/or reinforcement experiences that may need to be delivered prior to or within the unit.  </w:t>
      </w:r>
    </w:p>
    <w:p w:rsidR="00DC4DAA" w:rsidRPr="004A34C1" w:rsidRDefault="00DC4DAA">
      <w:pPr>
        <w:pStyle w:val="normal0"/>
        <w:spacing w:after="0" w:line="240" w:lineRule="auto"/>
        <w:rPr>
          <w:rFonts w:asciiTheme="majorHAnsi" w:hAnsiTheme="majorHAnsi"/>
          <w:sz w:val="24"/>
          <w:szCs w:val="24"/>
        </w:rPr>
      </w:pPr>
    </w:p>
    <w:p w:rsidR="00DC4DAA" w:rsidRDefault="00DC4DAA">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4A34C1" w:rsidRDefault="004A34C1">
      <w:pPr>
        <w:pStyle w:val="normal0"/>
        <w:spacing w:after="0" w:line="240" w:lineRule="auto"/>
      </w:pPr>
    </w:p>
    <w:p w:rsidR="00DC4DAA" w:rsidRDefault="00DC4DAA">
      <w:pPr>
        <w:pStyle w:val="normal0"/>
        <w:spacing w:after="0" w:line="240" w:lineRule="auto"/>
      </w:pPr>
    </w:p>
    <w:p w:rsidR="00DC4DAA" w:rsidRDefault="00DC4DAA">
      <w:pPr>
        <w:pStyle w:val="normal0"/>
        <w:spacing w:after="0" w:line="240" w:lineRule="auto"/>
      </w:pPr>
    </w:p>
    <w:tbl>
      <w:tblPr>
        <w:tblStyle w:val="a"/>
        <w:tblW w:w="13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3585"/>
        <w:gridCol w:w="9403"/>
      </w:tblGrid>
      <w:tr w:rsidR="00DC4DAA">
        <w:tc>
          <w:tcPr>
            <w:tcW w:w="885" w:type="dxa"/>
            <w:shd w:val="clear" w:color="auto" w:fill="92CDDC"/>
          </w:tcPr>
          <w:p w:rsidR="00DC4DAA" w:rsidRDefault="00C423E9">
            <w:pPr>
              <w:pStyle w:val="normal0"/>
              <w:jc w:val="center"/>
            </w:pPr>
            <w:r>
              <w:rPr>
                <w:rFonts w:ascii="Cambria" w:eastAsia="Cambria" w:hAnsi="Cambria" w:cs="Cambria"/>
                <w:b/>
                <w:sz w:val="20"/>
              </w:rPr>
              <w:lastRenderedPageBreak/>
              <w:t>Weeks At A Glance</w:t>
            </w:r>
          </w:p>
        </w:tc>
        <w:tc>
          <w:tcPr>
            <w:tcW w:w="3585" w:type="dxa"/>
            <w:tcMar>
              <w:left w:w="115" w:type="dxa"/>
              <w:right w:w="115" w:type="dxa"/>
            </w:tcMar>
          </w:tcPr>
          <w:p w:rsidR="00DC4DAA" w:rsidRPr="004A34C1" w:rsidRDefault="00734CA8">
            <w:pPr>
              <w:pStyle w:val="normal0"/>
              <w:widowControl w:val="0"/>
              <w:spacing w:after="200" w:line="276" w:lineRule="auto"/>
              <w:rPr>
                <w:rFonts w:asciiTheme="majorHAnsi" w:hAnsiTheme="majorHAnsi"/>
                <w:i/>
              </w:rPr>
            </w:pPr>
            <w:r>
              <w:rPr>
                <w:rFonts w:asciiTheme="majorHAnsi" w:hAnsiTheme="majorHAnsi"/>
                <w:i/>
              </w:rPr>
              <w:t>What is taught this particular week.</w:t>
            </w:r>
          </w:p>
        </w:tc>
        <w:tc>
          <w:tcPr>
            <w:tcW w:w="9403" w:type="dxa"/>
            <w:tcMar>
              <w:left w:w="115" w:type="dxa"/>
              <w:right w:w="115" w:type="dxa"/>
            </w:tcMar>
          </w:tcPr>
          <w:p w:rsidR="00DC4DAA" w:rsidRDefault="00DC4DAA">
            <w:pPr>
              <w:pStyle w:val="normal0"/>
              <w:widowControl w:val="0"/>
              <w:spacing w:after="200" w:line="276" w:lineRule="auto"/>
            </w:pPr>
          </w:p>
        </w:tc>
      </w:tr>
      <w:tr w:rsidR="00DC4DAA">
        <w:tc>
          <w:tcPr>
            <w:tcW w:w="885" w:type="dxa"/>
            <w:shd w:val="clear" w:color="auto" w:fill="DAEEF3"/>
          </w:tcPr>
          <w:p w:rsidR="00DC4DAA" w:rsidRDefault="00C423E9">
            <w:pPr>
              <w:pStyle w:val="normal0"/>
              <w:jc w:val="center"/>
            </w:pPr>
            <w:r>
              <w:rPr>
                <w:rFonts w:ascii="Cambria" w:eastAsia="Cambria" w:hAnsi="Cambria" w:cs="Cambria"/>
                <w:sz w:val="20"/>
              </w:rPr>
              <w:t>Week</w:t>
            </w:r>
          </w:p>
        </w:tc>
        <w:tc>
          <w:tcPr>
            <w:tcW w:w="3585" w:type="dxa"/>
            <w:shd w:val="clear" w:color="auto" w:fill="DAEEF3"/>
          </w:tcPr>
          <w:p w:rsidR="004A34C1" w:rsidRDefault="00C423E9" w:rsidP="004A34C1">
            <w:pPr>
              <w:pStyle w:val="normal0"/>
              <w:rPr>
                <w:rFonts w:ascii="Cambria" w:eastAsia="Cambria" w:hAnsi="Cambria" w:cs="Cambria"/>
                <w:sz w:val="24"/>
              </w:rPr>
            </w:pPr>
            <w:r>
              <w:rPr>
                <w:rFonts w:ascii="Cambria" w:eastAsia="Cambria" w:hAnsi="Cambria" w:cs="Cambria"/>
                <w:sz w:val="24"/>
              </w:rPr>
              <w:t xml:space="preserve">Standards, </w:t>
            </w:r>
          </w:p>
          <w:p w:rsidR="004A34C1" w:rsidRPr="004A34C1" w:rsidRDefault="004A34C1" w:rsidP="004A34C1">
            <w:pPr>
              <w:pStyle w:val="normal0"/>
              <w:rPr>
                <w:rFonts w:ascii="Cambria" w:eastAsia="Cambria" w:hAnsi="Cambria" w:cs="Cambria"/>
                <w:i/>
                <w:sz w:val="24"/>
              </w:rPr>
            </w:pPr>
            <w:r>
              <w:rPr>
                <w:rFonts w:ascii="Cambria" w:eastAsia="Cambria" w:hAnsi="Cambria" w:cs="Cambria"/>
                <w:sz w:val="24"/>
              </w:rPr>
              <w:t xml:space="preserve">GLE’s </w:t>
            </w:r>
            <w:r w:rsidRPr="004A34C1">
              <w:rPr>
                <w:rFonts w:ascii="Cambria" w:eastAsia="Cambria" w:hAnsi="Cambria" w:cs="Cambria"/>
                <w:i/>
                <w:sz w:val="24"/>
              </w:rPr>
              <w:t>(Grade Level Expectations)</w:t>
            </w:r>
          </w:p>
          <w:p w:rsidR="00DC4DAA" w:rsidRDefault="004A34C1" w:rsidP="004A34C1">
            <w:pPr>
              <w:pStyle w:val="normal0"/>
              <w:rPr>
                <w:rFonts w:ascii="Cambria" w:eastAsia="Cambria" w:hAnsi="Cambria" w:cs="Cambria"/>
                <w:i/>
                <w:sz w:val="24"/>
              </w:rPr>
            </w:pPr>
            <w:r>
              <w:rPr>
                <w:rFonts w:ascii="Cambria" w:eastAsia="Cambria" w:hAnsi="Cambria" w:cs="Cambria"/>
                <w:sz w:val="24"/>
              </w:rPr>
              <w:t xml:space="preserve">EO’s </w:t>
            </w:r>
            <w:r w:rsidRPr="004A34C1">
              <w:rPr>
                <w:rFonts w:ascii="Cambria" w:eastAsia="Cambria" w:hAnsi="Cambria" w:cs="Cambria"/>
                <w:i/>
                <w:sz w:val="24"/>
              </w:rPr>
              <w:t>(Evidence Outcomes)</w:t>
            </w:r>
            <w:r w:rsidR="00316B48">
              <w:rPr>
                <w:rFonts w:ascii="Cambria" w:eastAsia="Cambria" w:hAnsi="Cambria" w:cs="Cambria"/>
                <w:i/>
                <w:sz w:val="24"/>
              </w:rPr>
              <w:t xml:space="preserve"> </w:t>
            </w:r>
          </w:p>
          <w:p w:rsidR="00E4553A" w:rsidRPr="00E4553A" w:rsidRDefault="00E4553A" w:rsidP="004A34C1">
            <w:pPr>
              <w:pStyle w:val="normal0"/>
              <w:rPr>
                <w:rFonts w:ascii="Cambria" w:eastAsia="Cambria" w:hAnsi="Cambria" w:cs="Cambria"/>
                <w:b/>
                <w:i/>
                <w:sz w:val="24"/>
              </w:rPr>
            </w:pPr>
            <w:r>
              <w:rPr>
                <w:rFonts w:ascii="Cambria" w:eastAsia="Cambria" w:hAnsi="Cambria" w:cs="Cambria"/>
                <w:b/>
                <w:i/>
                <w:sz w:val="24"/>
              </w:rPr>
              <w:t>S 1- GLE.1- E.Oa</w:t>
            </w:r>
          </w:p>
          <w:p w:rsidR="004A34C1" w:rsidRDefault="004A34C1" w:rsidP="00316B48">
            <w:pPr>
              <w:pStyle w:val="normal0"/>
              <w:numPr>
                <w:ilvl w:val="0"/>
                <w:numId w:val="1"/>
              </w:numPr>
              <w:rPr>
                <w:rFonts w:ascii="Cambria" w:eastAsia="Cambria" w:hAnsi="Cambria" w:cs="Cambria"/>
                <w:b/>
                <w:i/>
                <w:sz w:val="24"/>
              </w:rPr>
            </w:pPr>
            <w:r w:rsidRPr="00E4553A">
              <w:rPr>
                <w:rFonts w:ascii="Cambria" w:eastAsia="Cambria" w:hAnsi="Cambria" w:cs="Cambria"/>
                <w:b/>
                <w:i/>
                <w:sz w:val="24"/>
              </w:rPr>
              <w:t>These are the numbers and letters associated</w:t>
            </w:r>
            <w:r w:rsidR="00F22F36">
              <w:rPr>
                <w:rFonts w:ascii="Cambria" w:eastAsia="Cambria" w:hAnsi="Cambria" w:cs="Cambria"/>
                <w:b/>
                <w:i/>
                <w:sz w:val="24"/>
              </w:rPr>
              <w:t xml:space="preserve"> with each Standard, GLE and E.O from the Colorado Academic Standards.</w:t>
            </w:r>
          </w:p>
          <w:p w:rsidR="00E4553A" w:rsidRPr="00E4553A" w:rsidRDefault="00E4553A" w:rsidP="00E4553A">
            <w:pPr>
              <w:pStyle w:val="normal0"/>
              <w:ind w:left="720"/>
              <w:rPr>
                <w:rFonts w:ascii="Cambria" w:eastAsia="Cambria" w:hAnsi="Cambria" w:cs="Cambria"/>
                <w:b/>
                <w:i/>
                <w:sz w:val="24"/>
              </w:rPr>
            </w:pPr>
          </w:p>
          <w:p w:rsidR="004A34C1" w:rsidRDefault="004A34C1" w:rsidP="004A34C1">
            <w:pPr>
              <w:pStyle w:val="normal0"/>
              <w:rPr>
                <w:rFonts w:ascii="Cambria" w:eastAsia="Cambria" w:hAnsi="Cambria" w:cs="Cambria"/>
                <w:sz w:val="24"/>
              </w:rPr>
            </w:pPr>
          </w:p>
          <w:p w:rsidR="004A34C1" w:rsidRDefault="004A34C1" w:rsidP="004A34C1">
            <w:pPr>
              <w:pStyle w:val="normal0"/>
            </w:pPr>
          </w:p>
        </w:tc>
        <w:tc>
          <w:tcPr>
            <w:tcW w:w="9403" w:type="dxa"/>
            <w:shd w:val="clear" w:color="auto" w:fill="DAEEF3"/>
          </w:tcPr>
          <w:p w:rsidR="00DC4DAA" w:rsidRDefault="00C423E9">
            <w:pPr>
              <w:pStyle w:val="normal0"/>
              <w:jc w:val="center"/>
            </w:pPr>
            <w:r>
              <w:rPr>
                <w:rFonts w:ascii="Cambria" w:eastAsia="Cambria" w:hAnsi="Cambria" w:cs="Cambria"/>
                <w:sz w:val="24"/>
              </w:rPr>
              <w:t>Focus</w:t>
            </w:r>
          </w:p>
        </w:tc>
      </w:tr>
      <w:tr w:rsidR="00DC4DAA">
        <w:tc>
          <w:tcPr>
            <w:tcW w:w="885" w:type="dxa"/>
          </w:tcPr>
          <w:p w:rsidR="00DC4DAA" w:rsidRDefault="00C423E9">
            <w:pPr>
              <w:pStyle w:val="normal0"/>
              <w:spacing w:line="360" w:lineRule="auto"/>
              <w:jc w:val="center"/>
            </w:pPr>
            <w:r>
              <w:rPr>
                <w:rFonts w:ascii="Cambria" w:eastAsia="Cambria" w:hAnsi="Cambria" w:cs="Cambria"/>
                <w:sz w:val="24"/>
              </w:rPr>
              <w:t>1</w:t>
            </w:r>
          </w:p>
        </w:tc>
        <w:tc>
          <w:tcPr>
            <w:tcW w:w="3585" w:type="dxa"/>
          </w:tcPr>
          <w:p w:rsidR="00DC4DAA" w:rsidRDefault="00DC4DAA">
            <w:pPr>
              <w:pStyle w:val="normal0"/>
              <w:spacing w:line="360" w:lineRule="auto"/>
            </w:pPr>
          </w:p>
        </w:tc>
        <w:tc>
          <w:tcPr>
            <w:tcW w:w="9403" w:type="dxa"/>
          </w:tcPr>
          <w:p w:rsidR="00DC4DAA" w:rsidRDefault="00DC4DAA">
            <w:pPr>
              <w:pStyle w:val="normal0"/>
              <w:spacing w:line="360" w:lineRule="auto"/>
            </w:pPr>
          </w:p>
        </w:tc>
      </w:tr>
      <w:tr w:rsidR="00DC4DAA">
        <w:tc>
          <w:tcPr>
            <w:tcW w:w="885" w:type="dxa"/>
          </w:tcPr>
          <w:p w:rsidR="00DC4DAA" w:rsidRDefault="00C423E9">
            <w:pPr>
              <w:pStyle w:val="normal0"/>
              <w:spacing w:line="360" w:lineRule="auto"/>
              <w:jc w:val="center"/>
            </w:pPr>
            <w:r>
              <w:rPr>
                <w:rFonts w:ascii="Cambria" w:eastAsia="Cambria" w:hAnsi="Cambria" w:cs="Cambria"/>
                <w:sz w:val="24"/>
              </w:rPr>
              <w:t>2</w:t>
            </w:r>
          </w:p>
        </w:tc>
        <w:tc>
          <w:tcPr>
            <w:tcW w:w="3585" w:type="dxa"/>
          </w:tcPr>
          <w:p w:rsidR="00DC4DAA" w:rsidRDefault="00DC4DAA">
            <w:pPr>
              <w:pStyle w:val="normal0"/>
              <w:spacing w:line="360" w:lineRule="auto"/>
            </w:pPr>
          </w:p>
        </w:tc>
        <w:tc>
          <w:tcPr>
            <w:tcW w:w="9403" w:type="dxa"/>
          </w:tcPr>
          <w:p w:rsidR="00DC4DAA" w:rsidRDefault="00DC4DAA">
            <w:pPr>
              <w:pStyle w:val="normal0"/>
              <w:spacing w:line="360" w:lineRule="auto"/>
            </w:pPr>
          </w:p>
        </w:tc>
      </w:tr>
      <w:tr w:rsidR="00DC4DAA">
        <w:tc>
          <w:tcPr>
            <w:tcW w:w="885" w:type="dxa"/>
          </w:tcPr>
          <w:p w:rsidR="00DC4DAA" w:rsidRDefault="00C423E9">
            <w:pPr>
              <w:pStyle w:val="normal0"/>
              <w:spacing w:line="360" w:lineRule="auto"/>
              <w:jc w:val="center"/>
            </w:pPr>
            <w:r>
              <w:rPr>
                <w:rFonts w:ascii="Cambria" w:eastAsia="Cambria" w:hAnsi="Cambria" w:cs="Cambria"/>
                <w:sz w:val="24"/>
              </w:rPr>
              <w:t>3</w:t>
            </w:r>
          </w:p>
        </w:tc>
        <w:tc>
          <w:tcPr>
            <w:tcW w:w="3585" w:type="dxa"/>
          </w:tcPr>
          <w:p w:rsidR="00DC4DAA" w:rsidRDefault="00DC4DAA">
            <w:pPr>
              <w:pStyle w:val="normal0"/>
              <w:spacing w:line="360" w:lineRule="auto"/>
            </w:pPr>
          </w:p>
        </w:tc>
        <w:tc>
          <w:tcPr>
            <w:tcW w:w="9403" w:type="dxa"/>
          </w:tcPr>
          <w:p w:rsidR="00DC4DAA" w:rsidRDefault="00DC4DAA">
            <w:pPr>
              <w:pStyle w:val="normal0"/>
              <w:spacing w:line="360" w:lineRule="auto"/>
            </w:pPr>
          </w:p>
        </w:tc>
      </w:tr>
      <w:tr w:rsidR="00DC4DAA">
        <w:tc>
          <w:tcPr>
            <w:tcW w:w="885" w:type="dxa"/>
          </w:tcPr>
          <w:p w:rsidR="00DC4DAA" w:rsidRDefault="00C423E9">
            <w:pPr>
              <w:pStyle w:val="normal0"/>
              <w:spacing w:line="360" w:lineRule="auto"/>
              <w:jc w:val="center"/>
            </w:pPr>
            <w:r>
              <w:rPr>
                <w:rFonts w:ascii="Cambria" w:eastAsia="Cambria" w:hAnsi="Cambria" w:cs="Cambria"/>
                <w:sz w:val="24"/>
              </w:rPr>
              <w:t>4</w:t>
            </w:r>
          </w:p>
        </w:tc>
        <w:tc>
          <w:tcPr>
            <w:tcW w:w="3585" w:type="dxa"/>
          </w:tcPr>
          <w:p w:rsidR="00DC4DAA" w:rsidRDefault="00DC4DAA">
            <w:pPr>
              <w:pStyle w:val="normal0"/>
              <w:spacing w:line="360" w:lineRule="auto"/>
            </w:pPr>
          </w:p>
        </w:tc>
        <w:tc>
          <w:tcPr>
            <w:tcW w:w="9403" w:type="dxa"/>
          </w:tcPr>
          <w:p w:rsidR="00DC4DAA" w:rsidRDefault="00DC4DAA">
            <w:pPr>
              <w:pStyle w:val="normal0"/>
              <w:spacing w:line="360" w:lineRule="auto"/>
            </w:pPr>
          </w:p>
        </w:tc>
      </w:tr>
      <w:tr w:rsidR="00DC4DAA">
        <w:tc>
          <w:tcPr>
            <w:tcW w:w="885" w:type="dxa"/>
          </w:tcPr>
          <w:p w:rsidR="00DC4DAA" w:rsidRDefault="00C423E9">
            <w:pPr>
              <w:pStyle w:val="normal0"/>
              <w:spacing w:line="360" w:lineRule="auto"/>
              <w:jc w:val="center"/>
            </w:pPr>
            <w:r>
              <w:rPr>
                <w:sz w:val="24"/>
              </w:rPr>
              <w:t>5</w:t>
            </w:r>
          </w:p>
        </w:tc>
        <w:tc>
          <w:tcPr>
            <w:tcW w:w="3585" w:type="dxa"/>
          </w:tcPr>
          <w:p w:rsidR="00DC4DAA" w:rsidRDefault="00DC4DAA">
            <w:pPr>
              <w:pStyle w:val="normal0"/>
              <w:spacing w:line="360" w:lineRule="auto"/>
            </w:pPr>
          </w:p>
        </w:tc>
        <w:tc>
          <w:tcPr>
            <w:tcW w:w="9403" w:type="dxa"/>
          </w:tcPr>
          <w:p w:rsidR="00DC4DAA" w:rsidRDefault="00DC4DAA">
            <w:pPr>
              <w:pStyle w:val="normal0"/>
              <w:spacing w:line="360" w:lineRule="auto"/>
            </w:pPr>
          </w:p>
        </w:tc>
      </w:tr>
      <w:tr w:rsidR="00DC4DAA">
        <w:tc>
          <w:tcPr>
            <w:tcW w:w="885" w:type="dxa"/>
          </w:tcPr>
          <w:p w:rsidR="00DC4DAA" w:rsidRDefault="00C423E9">
            <w:pPr>
              <w:pStyle w:val="normal0"/>
              <w:spacing w:line="360" w:lineRule="auto"/>
              <w:jc w:val="center"/>
            </w:pPr>
            <w:r>
              <w:rPr>
                <w:sz w:val="24"/>
              </w:rPr>
              <w:t>6</w:t>
            </w:r>
          </w:p>
        </w:tc>
        <w:tc>
          <w:tcPr>
            <w:tcW w:w="3585" w:type="dxa"/>
          </w:tcPr>
          <w:p w:rsidR="00DC4DAA" w:rsidRDefault="00DC4DAA">
            <w:pPr>
              <w:pStyle w:val="normal0"/>
              <w:spacing w:line="360" w:lineRule="auto"/>
            </w:pPr>
          </w:p>
        </w:tc>
        <w:tc>
          <w:tcPr>
            <w:tcW w:w="9403" w:type="dxa"/>
          </w:tcPr>
          <w:p w:rsidR="00DC4DAA" w:rsidRDefault="00DC4DAA">
            <w:pPr>
              <w:pStyle w:val="normal0"/>
              <w:spacing w:line="360" w:lineRule="auto"/>
            </w:pPr>
          </w:p>
        </w:tc>
      </w:tr>
    </w:tbl>
    <w:p w:rsidR="00DC4DAA" w:rsidRDefault="00DC4DAA">
      <w:pPr>
        <w:pStyle w:val="normal0"/>
        <w:spacing w:after="0" w:line="240" w:lineRule="auto"/>
      </w:pPr>
    </w:p>
    <w:p w:rsidR="00DC4DAA" w:rsidRDefault="00DC4DAA">
      <w:pPr>
        <w:pStyle w:val="normal0"/>
        <w:spacing w:after="0" w:line="240" w:lineRule="auto"/>
      </w:pPr>
    </w:p>
    <w:p w:rsidR="001A7780" w:rsidRDefault="001A7780">
      <w:pPr>
        <w:pStyle w:val="normal0"/>
        <w:spacing w:after="0" w:line="240" w:lineRule="auto"/>
      </w:pPr>
    </w:p>
    <w:p w:rsidR="002C607F" w:rsidRDefault="002C607F">
      <w:pPr>
        <w:pStyle w:val="normal0"/>
        <w:spacing w:after="0" w:line="240" w:lineRule="auto"/>
      </w:pPr>
    </w:p>
    <w:p w:rsidR="002C607F" w:rsidRDefault="002C607F">
      <w:pPr>
        <w:pStyle w:val="normal0"/>
        <w:spacing w:after="0" w:line="240" w:lineRule="auto"/>
      </w:pPr>
    </w:p>
    <w:p w:rsidR="002C607F" w:rsidRDefault="002C607F">
      <w:pPr>
        <w:pStyle w:val="normal0"/>
        <w:spacing w:after="0" w:line="240" w:lineRule="auto"/>
      </w:pPr>
    </w:p>
    <w:p w:rsidR="002C607F" w:rsidRDefault="002C607F">
      <w:pPr>
        <w:pStyle w:val="normal0"/>
        <w:spacing w:after="0" w:line="240" w:lineRule="auto"/>
      </w:pPr>
    </w:p>
    <w:p w:rsidR="002C607F" w:rsidRDefault="002C607F">
      <w:pPr>
        <w:pStyle w:val="normal0"/>
        <w:spacing w:after="0" w:line="240" w:lineRule="auto"/>
      </w:pPr>
    </w:p>
    <w:p w:rsidR="001A7780" w:rsidRDefault="001A7780">
      <w:pPr>
        <w:pStyle w:val="normal0"/>
        <w:spacing w:after="0" w:line="240" w:lineRule="auto"/>
      </w:pPr>
    </w:p>
    <w:p w:rsidR="00DC4DAA" w:rsidRDefault="00DC4DAA">
      <w:pPr>
        <w:pStyle w:val="normal0"/>
        <w:spacing w:after="0" w:line="240" w:lineRule="auto"/>
      </w:pPr>
    </w:p>
    <w:tbl>
      <w:tblPr>
        <w:tblStyle w:val="a0"/>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0"/>
        <w:gridCol w:w="12510"/>
      </w:tblGrid>
      <w:tr w:rsidR="00DC4DAA">
        <w:tc>
          <w:tcPr>
            <w:tcW w:w="1260" w:type="dxa"/>
            <w:shd w:val="clear" w:color="auto" w:fill="DAEEF3"/>
          </w:tcPr>
          <w:p w:rsidR="00DC4DAA" w:rsidRDefault="00DC4DAA">
            <w:pPr>
              <w:pStyle w:val="normal0"/>
              <w:jc w:val="center"/>
            </w:pPr>
          </w:p>
          <w:p w:rsidR="00DC4DAA" w:rsidRDefault="00C423E9">
            <w:pPr>
              <w:pStyle w:val="normal0"/>
              <w:jc w:val="center"/>
            </w:pPr>
            <w:r>
              <w:rPr>
                <w:rFonts w:ascii="Cambria" w:eastAsia="Cambria" w:hAnsi="Cambria" w:cs="Cambria"/>
                <w:b/>
                <w:sz w:val="20"/>
              </w:rPr>
              <w:t>Inquiry Questions (Essential Questions)</w:t>
            </w:r>
          </w:p>
        </w:tc>
        <w:tc>
          <w:tcPr>
            <w:tcW w:w="12510" w:type="dxa"/>
            <w:tcMar>
              <w:left w:w="115" w:type="dxa"/>
              <w:right w:w="115" w:type="dxa"/>
            </w:tcMar>
          </w:tcPr>
          <w:p w:rsidR="00DC4DAA" w:rsidRPr="001A7780" w:rsidRDefault="00316B48">
            <w:pPr>
              <w:pStyle w:val="normal0"/>
              <w:widowControl w:val="0"/>
              <w:spacing w:after="200" w:line="276" w:lineRule="auto"/>
              <w:rPr>
                <w:i/>
              </w:rPr>
            </w:pPr>
            <w:r>
              <w:rPr>
                <w:i/>
              </w:rPr>
              <w:t>Use the Colorado Academic Standards (CAS) document – under the title: 21</w:t>
            </w:r>
            <w:r w:rsidRPr="00316B48">
              <w:rPr>
                <w:i/>
                <w:vertAlign w:val="superscript"/>
              </w:rPr>
              <w:t>st</w:t>
            </w:r>
            <w:r>
              <w:rPr>
                <w:i/>
              </w:rPr>
              <w:t xml:space="preserve"> Century Skills and Readiness Competencies are “inquiry questions”.  The inquiry questions support the 21</w:t>
            </w:r>
            <w:r w:rsidRPr="00316B48">
              <w:rPr>
                <w:i/>
                <w:vertAlign w:val="superscript"/>
              </w:rPr>
              <w:t>st</w:t>
            </w:r>
            <w:r>
              <w:rPr>
                <w:i/>
              </w:rPr>
              <w:t xml:space="preserve"> Century skills by asking questions related specifically to the standard, GLE, and EO’s. </w:t>
            </w:r>
            <w:r>
              <w:t xml:space="preserve">Inquiry or Essential questions are: </w:t>
            </w:r>
            <w:r w:rsidR="001A7780">
              <w:rPr>
                <w:i/>
              </w:rPr>
              <w:t>The engaging, debatable, and over-arching questions that frame the unit. These are relevant, catch students’ interest, and guide students to think more conceptually and abstractly (i.e., these questions are open-ended and will not have one “correct” answer.</w:t>
            </w:r>
          </w:p>
        </w:tc>
      </w:tr>
      <w:tr w:rsidR="00DC4DAA">
        <w:tc>
          <w:tcPr>
            <w:tcW w:w="1260" w:type="dxa"/>
          </w:tcPr>
          <w:p w:rsidR="00DC4DAA" w:rsidRDefault="00C423E9">
            <w:pPr>
              <w:pStyle w:val="normal0"/>
              <w:spacing w:line="360" w:lineRule="auto"/>
              <w:jc w:val="center"/>
            </w:pPr>
            <w:r>
              <w:rPr>
                <w:rFonts w:ascii="Cambria" w:eastAsia="Cambria" w:hAnsi="Cambria" w:cs="Cambria"/>
                <w:sz w:val="24"/>
              </w:rPr>
              <w:t>1</w:t>
            </w:r>
          </w:p>
        </w:tc>
        <w:tc>
          <w:tcPr>
            <w:tcW w:w="12510" w:type="dxa"/>
          </w:tcPr>
          <w:p w:rsidR="00DC4DAA" w:rsidRDefault="00DC4DAA">
            <w:pPr>
              <w:pStyle w:val="normal0"/>
              <w:spacing w:line="360" w:lineRule="auto"/>
            </w:pPr>
          </w:p>
        </w:tc>
      </w:tr>
      <w:tr w:rsidR="00DC4DAA">
        <w:tc>
          <w:tcPr>
            <w:tcW w:w="1260" w:type="dxa"/>
          </w:tcPr>
          <w:p w:rsidR="00DC4DAA" w:rsidRDefault="00C423E9">
            <w:pPr>
              <w:pStyle w:val="normal0"/>
              <w:spacing w:line="360" w:lineRule="auto"/>
              <w:jc w:val="center"/>
            </w:pPr>
            <w:r>
              <w:rPr>
                <w:rFonts w:ascii="Cambria" w:eastAsia="Cambria" w:hAnsi="Cambria" w:cs="Cambria"/>
                <w:sz w:val="24"/>
              </w:rPr>
              <w:t>2</w:t>
            </w:r>
          </w:p>
        </w:tc>
        <w:tc>
          <w:tcPr>
            <w:tcW w:w="12510" w:type="dxa"/>
          </w:tcPr>
          <w:p w:rsidR="00DC4DAA" w:rsidRDefault="00DC4DAA">
            <w:pPr>
              <w:pStyle w:val="normal0"/>
              <w:spacing w:line="360" w:lineRule="auto"/>
            </w:pPr>
          </w:p>
        </w:tc>
      </w:tr>
      <w:tr w:rsidR="00DC4DAA">
        <w:tc>
          <w:tcPr>
            <w:tcW w:w="1260" w:type="dxa"/>
          </w:tcPr>
          <w:p w:rsidR="00DC4DAA" w:rsidRDefault="00C423E9">
            <w:pPr>
              <w:pStyle w:val="normal0"/>
              <w:spacing w:line="360" w:lineRule="auto"/>
              <w:jc w:val="center"/>
            </w:pPr>
            <w:r>
              <w:rPr>
                <w:rFonts w:ascii="Cambria" w:eastAsia="Cambria" w:hAnsi="Cambria" w:cs="Cambria"/>
                <w:sz w:val="24"/>
              </w:rPr>
              <w:t>3</w:t>
            </w:r>
          </w:p>
        </w:tc>
        <w:tc>
          <w:tcPr>
            <w:tcW w:w="12510" w:type="dxa"/>
          </w:tcPr>
          <w:p w:rsidR="00DC4DAA" w:rsidRDefault="00DC4DAA">
            <w:pPr>
              <w:pStyle w:val="normal0"/>
              <w:spacing w:line="360" w:lineRule="auto"/>
            </w:pPr>
          </w:p>
        </w:tc>
      </w:tr>
      <w:tr w:rsidR="00DC4DAA">
        <w:tc>
          <w:tcPr>
            <w:tcW w:w="1260" w:type="dxa"/>
          </w:tcPr>
          <w:p w:rsidR="00DC4DAA" w:rsidRDefault="00C423E9">
            <w:pPr>
              <w:pStyle w:val="normal0"/>
              <w:spacing w:line="360" w:lineRule="auto"/>
              <w:jc w:val="center"/>
            </w:pPr>
            <w:r>
              <w:rPr>
                <w:rFonts w:ascii="Cambria" w:eastAsia="Cambria" w:hAnsi="Cambria" w:cs="Cambria"/>
                <w:sz w:val="24"/>
              </w:rPr>
              <w:t>4</w:t>
            </w:r>
          </w:p>
        </w:tc>
        <w:tc>
          <w:tcPr>
            <w:tcW w:w="12510" w:type="dxa"/>
          </w:tcPr>
          <w:p w:rsidR="00DC4DAA" w:rsidRDefault="00DC4DAA">
            <w:pPr>
              <w:pStyle w:val="normal0"/>
              <w:spacing w:line="360" w:lineRule="auto"/>
            </w:pPr>
          </w:p>
        </w:tc>
      </w:tr>
      <w:tr w:rsidR="00DC4DAA">
        <w:tc>
          <w:tcPr>
            <w:tcW w:w="1260" w:type="dxa"/>
          </w:tcPr>
          <w:p w:rsidR="00DC4DAA" w:rsidRDefault="00C423E9">
            <w:pPr>
              <w:pStyle w:val="normal0"/>
              <w:spacing w:line="360" w:lineRule="auto"/>
              <w:jc w:val="center"/>
            </w:pPr>
            <w:r>
              <w:rPr>
                <w:rFonts w:ascii="Cambria" w:eastAsia="Cambria" w:hAnsi="Cambria" w:cs="Cambria"/>
                <w:sz w:val="24"/>
              </w:rPr>
              <w:t>5</w:t>
            </w:r>
          </w:p>
        </w:tc>
        <w:tc>
          <w:tcPr>
            <w:tcW w:w="12510" w:type="dxa"/>
          </w:tcPr>
          <w:p w:rsidR="00DC4DAA" w:rsidRDefault="00DC4DAA">
            <w:pPr>
              <w:pStyle w:val="normal0"/>
              <w:spacing w:line="360" w:lineRule="auto"/>
            </w:pPr>
          </w:p>
        </w:tc>
      </w:tr>
      <w:tr w:rsidR="00DC4DAA">
        <w:tc>
          <w:tcPr>
            <w:tcW w:w="1260" w:type="dxa"/>
          </w:tcPr>
          <w:p w:rsidR="00DC4DAA" w:rsidRDefault="00C423E9">
            <w:pPr>
              <w:pStyle w:val="normal0"/>
              <w:spacing w:line="360" w:lineRule="auto"/>
              <w:jc w:val="center"/>
            </w:pPr>
            <w:r>
              <w:rPr>
                <w:rFonts w:ascii="Cambria" w:eastAsia="Cambria" w:hAnsi="Cambria" w:cs="Cambria"/>
                <w:sz w:val="24"/>
              </w:rPr>
              <w:t>6</w:t>
            </w:r>
          </w:p>
        </w:tc>
        <w:tc>
          <w:tcPr>
            <w:tcW w:w="12510" w:type="dxa"/>
          </w:tcPr>
          <w:p w:rsidR="00DC4DAA" w:rsidRDefault="00DC4DAA">
            <w:pPr>
              <w:pStyle w:val="normal0"/>
              <w:spacing w:line="360" w:lineRule="auto"/>
            </w:pPr>
          </w:p>
        </w:tc>
      </w:tr>
    </w:tbl>
    <w:p w:rsidR="00DC4DAA" w:rsidRDefault="00DC4DAA">
      <w:pPr>
        <w:pStyle w:val="normal0"/>
        <w:spacing w:after="0" w:line="240" w:lineRule="auto"/>
      </w:pPr>
    </w:p>
    <w:p w:rsidR="00DC4DAA" w:rsidRDefault="00DC4DAA">
      <w:pPr>
        <w:pStyle w:val="normal0"/>
        <w:spacing w:after="0" w:line="240" w:lineRule="auto"/>
      </w:pPr>
    </w:p>
    <w:p w:rsidR="00DC4DAA" w:rsidRDefault="00DC4DAA">
      <w:pPr>
        <w:pStyle w:val="normal0"/>
        <w:spacing w:after="0" w:line="240" w:lineRule="auto"/>
      </w:pPr>
    </w:p>
    <w:tbl>
      <w:tblPr>
        <w:tblStyle w:val="a1"/>
        <w:tblW w:w="13786"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4"/>
        <w:gridCol w:w="10182"/>
      </w:tblGrid>
      <w:tr w:rsidR="00DC4DAA">
        <w:tc>
          <w:tcPr>
            <w:tcW w:w="3604" w:type="dxa"/>
            <w:shd w:val="clear" w:color="auto" w:fill="92CDDC"/>
          </w:tcPr>
          <w:p w:rsidR="00DC4DAA" w:rsidRDefault="00C423E9">
            <w:pPr>
              <w:pStyle w:val="normal0"/>
              <w:spacing w:after="0" w:line="240" w:lineRule="auto"/>
            </w:pPr>
            <w:r>
              <w:rPr>
                <w:rFonts w:ascii="Cambria" w:eastAsia="Cambria" w:hAnsi="Cambria" w:cs="Cambria"/>
                <w:sz w:val="24"/>
              </w:rPr>
              <w:t>Performance Assessment:</w:t>
            </w:r>
          </w:p>
        </w:tc>
        <w:tc>
          <w:tcPr>
            <w:tcW w:w="10182" w:type="dxa"/>
            <w:tcMar>
              <w:left w:w="115" w:type="dxa"/>
              <w:right w:w="115" w:type="dxa"/>
            </w:tcMar>
          </w:tcPr>
          <w:p w:rsidR="00DC4DAA" w:rsidRPr="001A7780" w:rsidRDefault="001A7780">
            <w:pPr>
              <w:pStyle w:val="normal0"/>
              <w:widowControl w:val="0"/>
              <w:rPr>
                <w:i/>
              </w:rPr>
            </w:pPr>
            <w:r>
              <w:rPr>
                <w:i/>
              </w:rPr>
              <w:t>The capstone/summative assessment for this unit.</w:t>
            </w:r>
          </w:p>
        </w:tc>
      </w:tr>
      <w:tr w:rsidR="00DC4DAA">
        <w:tc>
          <w:tcPr>
            <w:tcW w:w="3604" w:type="dxa"/>
            <w:shd w:val="clear" w:color="auto" w:fill="DAEEF3"/>
          </w:tcPr>
          <w:p w:rsidR="00DC4DAA" w:rsidRDefault="00C423E9">
            <w:pPr>
              <w:pStyle w:val="normal0"/>
              <w:spacing w:after="0" w:line="240" w:lineRule="auto"/>
            </w:pPr>
            <w:r>
              <w:rPr>
                <w:rFonts w:ascii="Cambria" w:eastAsia="Cambria" w:hAnsi="Cambria" w:cs="Cambria"/>
                <w:b/>
                <w:sz w:val="24"/>
              </w:rPr>
              <w:t xml:space="preserve">Claims: </w:t>
            </w:r>
          </w:p>
          <w:p w:rsidR="00DC4DAA" w:rsidRDefault="00DC4DAA">
            <w:pPr>
              <w:pStyle w:val="normal0"/>
              <w:spacing w:after="0" w:line="240" w:lineRule="auto"/>
            </w:pPr>
          </w:p>
        </w:tc>
        <w:tc>
          <w:tcPr>
            <w:tcW w:w="10182" w:type="dxa"/>
            <w:shd w:val="clear" w:color="auto" w:fill="FFFFFF"/>
          </w:tcPr>
          <w:p w:rsidR="00DC4DAA" w:rsidRPr="001A7780" w:rsidRDefault="001A7780">
            <w:pPr>
              <w:pStyle w:val="normal0"/>
              <w:spacing w:after="0" w:line="240" w:lineRule="auto"/>
              <w:rPr>
                <w:i/>
              </w:rPr>
            </w:pPr>
            <w:r>
              <w:rPr>
                <w:i/>
              </w:rPr>
              <w:t>The key generalization(s) to be mastered and demonstrated through the performance assessment.</w:t>
            </w:r>
          </w:p>
        </w:tc>
      </w:tr>
      <w:tr w:rsidR="00DC4DAA">
        <w:tc>
          <w:tcPr>
            <w:tcW w:w="3604" w:type="dxa"/>
            <w:shd w:val="clear" w:color="auto" w:fill="DAEEF3"/>
          </w:tcPr>
          <w:p w:rsidR="00DC4DAA" w:rsidRDefault="00C423E9">
            <w:pPr>
              <w:pStyle w:val="normal0"/>
              <w:spacing w:after="0" w:line="240" w:lineRule="auto"/>
            </w:pPr>
            <w:r>
              <w:rPr>
                <w:rFonts w:ascii="Cambria" w:eastAsia="Cambria" w:hAnsi="Cambria" w:cs="Cambria"/>
                <w:b/>
                <w:sz w:val="24"/>
              </w:rPr>
              <w:t>Stimulus Material:</w:t>
            </w:r>
          </w:p>
          <w:p w:rsidR="00DC4DAA" w:rsidRDefault="00DC4DAA" w:rsidP="001A7780">
            <w:pPr>
              <w:pStyle w:val="normal0"/>
              <w:spacing w:after="0" w:line="240" w:lineRule="auto"/>
            </w:pPr>
          </w:p>
        </w:tc>
        <w:tc>
          <w:tcPr>
            <w:tcW w:w="10182" w:type="dxa"/>
            <w:shd w:val="clear" w:color="auto" w:fill="FFFFFF"/>
          </w:tcPr>
          <w:p w:rsidR="00DC4DAA" w:rsidRPr="001A7780" w:rsidRDefault="001A7780">
            <w:pPr>
              <w:pStyle w:val="normal0"/>
              <w:spacing w:after="0" w:line="240" w:lineRule="auto"/>
              <w:rPr>
                <w:i/>
                <w:szCs w:val="22"/>
              </w:rPr>
            </w:pPr>
            <w:r w:rsidRPr="001A7780">
              <w:rPr>
                <w:rFonts w:ascii="Cambria" w:eastAsia="Cambria" w:hAnsi="Cambria" w:cs="Cambria"/>
                <w:i/>
                <w:szCs w:val="22"/>
              </w:rPr>
              <w:t>Engaging scenario that includes role, audience, goal/outcome and explicitly connects the key generalization</w:t>
            </w:r>
            <w:r>
              <w:rPr>
                <w:rFonts w:ascii="Cambria" w:eastAsia="Cambria" w:hAnsi="Cambria" w:cs="Cambria"/>
                <w:i/>
                <w:szCs w:val="22"/>
              </w:rPr>
              <w:t>.</w:t>
            </w:r>
          </w:p>
        </w:tc>
      </w:tr>
      <w:tr w:rsidR="00DC4DAA">
        <w:trPr>
          <w:trHeight w:val="760"/>
        </w:trPr>
        <w:tc>
          <w:tcPr>
            <w:tcW w:w="3604" w:type="dxa"/>
            <w:shd w:val="clear" w:color="auto" w:fill="DAEEF3"/>
          </w:tcPr>
          <w:p w:rsidR="00DC4DAA" w:rsidRDefault="00C423E9">
            <w:pPr>
              <w:pStyle w:val="normal0"/>
              <w:spacing w:after="0" w:line="240" w:lineRule="auto"/>
            </w:pPr>
            <w:r>
              <w:rPr>
                <w:rFonts w:ascii="Cambria" w:eastAsia="Cambria" w:hAnsi="Cambria" w:cs="Cambria"/>
                <w:b/>
                <w:sz w:val="24"/>
              </w:rPr>
              <w:t>Product/Evidence:</w:t>
            </w:r>
          </w:p>
        </w:tc>
        <w:tc>
          <w:tcPr>
            <w:tcW w:w="10182" w:type="dxa"/>
            <w:shd w:val="clear" w:color="auto" w:fill="FFFFFF"/>
          </w:tcPr>
          <w:p w:rsidR="00DC4DAA" w:rsidRPr="001A7780" w:rsidRDefault="001A7780">
            <w:pPr>
              <w:pStyle w:val="normal0"/>
              <w:spacing w:after="0" w:line="240" w:lineRule="auto"/>
              <w:rPr>
                <w:i/>
                <w:szCs w:val="22"/>
              </w:rPr>
            </w:pPr>
            <w:r>
              <w:rPr>
                <w:rFonts w:ascii="Cambria" w:eastAsia="Cambria" w:hAnsi="Cambria" w:cs="Cambria"/>
                <w:i/>
                <w:szCs w:val="22"/>
              </w:rPr>
              <w:t>Expected product from students (e.g. reports, research, performance, artwork) that will provide evidence of students’ mastery</w:t>
            </w:r>
            <w:r w:rsidR="00292EAA">
              <w:rPr>
                <w:rFonts w:ascii="Cambria" w:eastAsia="Cambria" w:hAnsi="Cambria" w:cs="Cambria"/>
                <w:i/>
                <w:szCs w:val="22"/>
              </w:rPr>
              <w:t xml:space="preserve"> of the key generalization(s).</w:t>
            </w:r>
          </w:p>
        </w:tc>
      </w:tr>
      <w:tr w:rsidR="00DC4DAA">
        <w:trPr>
          <w:trHeight w:val="60"/>
        </w:trPr>
        <w:tc>
          <w:tcPr>
            <w:tcW w:w="3604" w:type="dxa"/>
            <w:shd w:val="clear" w:color="auto" w:fill="DAEEF3"/>
          </w:tcPr>
          <w:p w:rsidR="00DC4DAA" w:rsidRDefault="00C423E9">
            <w:pPr>
              <w:pStyle w:val="normal0"/>
              <w:spacing w:after="0" w:line="240" w:lineRule="auto"/>
            </w:pPr>
            <w:r>
              <w:rPr>
                <w:rFonts w:ascii="Cambria" w:eastAsia="Cambria" w:hAnsi="Cambria" w:cs="Cambria"/>
                <w:b/>
                <w:sz w:val="24"/>
              </w:rPr>
              <w:t>Differentiation:</w:t>
            </w:r>
          </w:p>
          <w:p w:rsidR="00DC4DAA" w:rsidRDefault="00DC4DAA">
            <w:pPr>
              <w:pStyle w:val="normal0"/>
              <w:spacing w:after="0" w:line="240" w:lineRule="auto"/>
            </w:pPr>
          </w:p>
        </w:tc>
        <w:tc>
          <w:tcPr>
            <w:tcW w:w="10182" w:type="dxa"/>
            <w:shd w:val="clear" w:color="auto" w:fill="FFFFFF"/>
          </w:tcPr>
          <w:p w:rsidR="00DC4DAA" w:rsidRPr="00292EAA" w:rsidRDefault="00842157">
            <w:pPr>
              <w:pStyle w:val="normal0"/>
              <w:spacing w:after="0" w:line="240" w:lineRule="auto"/>
              <w:ind w:left="288" w:hanging="287"/>
              <w:rPr>
                <w:i/>
              </w:rPr>
            </w:pPr>
            <w:r>
              <w:rPr>
                <w:i/>
              </w:rPr>
              <w:t>Multiple modes</w:t>
            </w:r>
            <w:r w:rsidR="00292EAA">
              <w:rPr>
                <w:i/>
              </w:rPr>
              <w:t xml:space="preserve"> (e.g., written work, oral presentations, videos, group work, and/or individual roles/responsibilities) by which students may express their mastery of the key generalization(s).</w:t>
            </w:r>
          </w:p>
        </w:tc>
      </w:tr>
    </w:tbl>
    <w:p w:rsidR="00DC4DAA" w:rsidRDefault="00DC4DAA">
      <w:pPr>
        <w:pStyle w:val="normal0"/>
        <w:spacing w:after="0" w:line="240" w:lineRule="auto"/>
      </w:pPr>
    </w:p>
    <w:p w:rsidR="00DC4DAA" w:rsidRDefault="00DC4DAA">
      <w:pPr>
        <w:pStyle w:val="normal0"/>
        <w:spacing w:after="0" w:line="240" w:lineRule="auto"/>
      </w:pPr>
    </w:p>
    <w:p w:rsidR="00842157" w:rsidRDefault="00842157">
      <w:pPr>
        <w:pStyle w:val="normal0"/>
        <w:spacing w:after="0" w:line="240" w:lineRule="auto"/>
      </w:pPr>
    </w:p>
    <w:p w:rsidR="00842157" w:rsidRDefault="00842157">
      <w:pPr>
        <w:pStyle w:val="normal0"/>
        <w:spacing w:after="0" w:line="240" w:lineRule="auto"/>
      </w:pPr>
    </w:p>
    <w:tbl>
      <w:tblPr>
        <w:tblStyle w:val="a2"/>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DC4DAA">
        <w:tc>
          <w:tcPr>
            <w:tcW w:w="13770" w:type="dxa"/>
            <w:shd w:val="clear" w:color="auto" w:fill="DAEEF3"/>
          </w:tcPr>
          <w:p w:rsidR="00DC4DAA" w:rsidRDefault="00DC4DAA">
            <w:pPr>
              <w:pStyle w:val="normal0"/>
              <w:jc w:val="center"/>
            </w:pPr>
          </w:p>
          <w:p w:rsidR="00DC4DAA" w:rsidRDefault="00C423E9">
            <w:pPr>
              <w:pStyle w:val="normal0"/>
              <w:jc w:val="center"/>
            </w:pPr>
            <w:r>
              <w:rPr>
                <w:rFonts w:ascii="Cambria" w:eastAsia="Cambria" w:hAnsi="Cambria" w:cs="Cambria"/>
                <w:b/>
                <w:sz w:val="24"/>
              </w:rPr>
              <w:t>Unit Considerations (Notes to teachers):</w:t>
            </w:r>
          </w:p>
        </w:tc>
      </w:tr>
      <w:tr w:rsidR="00DC4DAA">
        <w:tc>
          <w:tcPr>
            <w:tcW w:w="13770" w:type="dxa"/>
          </w:tcPr>
          <w:p w:rsidR="00DC4DAA" w:rsidRPr="00316B48" w:rsidRDefault="00316B48">
            <w:pPr>
              <w:pStyle w:val="normal0"/>
              <w:rPr>
                <w:rFonts w:asciiTheme="majorHAnsi" w:hAnsiTheme="majorHAnsi"/>
                <w:i/>
              </w:rPr>
            </w:pPr>
            <w:r>
              <w:rPr>
                <w:rFonts w:asciiTheme="majorHAnsi" w:hAnsiTheme="majorHAnsi"/>
                <w:i/>
              </w:rPr>
              <w:t xml:space="preserve">These are instructional items, materials, resources, etc that teachers need to make sure they have ready to go </w:t>
            </w:r>
            <w:r>
              <w:rPr>
                <w:rFonts w:asciiTheme="majorHAnsi" w:hAnsiTheme="majorHAnsi"/>
                <w:i/>
                <w:u w:val="single"/>
              </w:rPr>
              <w:t xml:space="preserve">before </w:t>
            </w:r>
            <w:r>
              <w:rPr>
                <w:rFonts w:asciiTheme="majorHAnsi" w:hAnsiTheme="majorHAnsi"/>
                <w:i/>
              </w:rPr>
              <w:t xml:space="preserve">the </w:t>
            </w:r>
            <w:r w:rsidR="00C40AFB">
              <w:rPr>
                <w:rFonts w:asciiTheme="majorHAnsi" w:hAnsiTheme="majorHAnsi"/>
                <w:i/>
              </w:rPr>
              <w:t>entire unit</w:t>
            </w:r>
            <w:r w:rsidR="002C607F">
              <w:rPr>
                <w:rFonts w:asciiTheme="majorHAnsi" w:hAnsiTheme="majorHAnsi"/>
                <w:i/>
              </w:rPr>
              <w:t xml:space="preserve"> begins. For example</w:t>
            </w:r>
            <w:r>
              <w:rPr>
                <w:rFonts w:asciiTheme="majorHAnsi" w:hAnsiTheme="majorHAnsi"/>
                <w:i/>
              </w:rPr>
              <w:t xml:space="preserve">: enough 2-liter bottles, order butterflies, specific sheet music, etc. </w:t>
            </w:r>
          </w:p>
          <w:p w:rsidR="00DC4DAA" w:rsidRDefault="00DC4DAA">
            <w:pPr>
              <w:pStyle w:val="normal0"/>
            </w:pPr>
          </w:p>
          <w:p w:rsidR="00DC4DAA" w:rsidRDefault="00DC4DAA">
            <w:pPr>
              <w:pStyle w:val="normal0"/>
            </w:pPr>
          </w:p>
          <w:p w:rsidR="00DC4DAA" w:rsidRDefault="00DC4DAA">
            <w:pPr>
              <w:pStyle w:val="normal0"/>
            </w:pPr>
          </w:p>
        </w:tc>
      </w:tr>
    </w:tbl>
    <w:p w:rsidR="00DC4DAA" w:rsidRDefault="00DC4DAA">
      <w:pPr>
        <w:pStyle w:val="normal0"/>
        <w:spacing w:after="0" w:line="240" w:lineRule="auto"/>
      </w:pPr>
    </w:p>
    <w:p w:rsidR="00DC4DAA" w:rsidRDefault="00DC4DAA">
      <w:pPr>
        <w:pStyle w:val="normal0"/>
        <w:spacing w:after="0" w:line="240" w:lineRule="auto"/>
      </w:pPr>
    </w:p>
    <w:p w:rsidR="00DC4DAA" w:rsidRDefault="00DC4DAA">
      <w:pPr>
        <w:pStyle w:val="normal0"/>
        <w:spacing w:after="0" w:line="240" w:lineRule="auto"/>
      </w:pPr>
    </w:p>
    <w:tbl>
      <w:tblPr>
        <w:tblStyle w:val="a3"/>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0"/>
        <w:gridCol w:w="7290"/>
      </w:tblGrid>
      <w:tr w:rsidR="00DC4DAA">
        <w:tc>
          <w:tcPr>
            <w:tcW w:w="6480" w:type="dxa"/>
            <w:shd w:val="clear" w:color="auto" w:fill="92CDDC"/>
          </w:tcPr>
          <w:p w:rsidR="00DC4DAA" w:rsidRDefault="00DC4DAA">
            <w:pPr>
              <w:pStyle w:val="normal0"/>
              <w:jc w:val="center"/>
            </w:pPr>
          </w:p>
          <w:p w:rsidR="00DC4DAA" w:rsidRDefault="00C423E9">
            <w:pPr>
              <w:pStyle w:val="normal0"/>
              <w:jc w:val="center"/>
            </w:pPr>
            <w:r>
              <w:rPr>
                <w:rFonts w:ascii="Cambria" w:eastAsia="Cambria" w:hAnsi="Cambria" w:cs="Cambria"/>
                <w:b/>
                <w:sz w:val="24"/>
              </w:rPr>
              <w:t>Texts for Independent Reading or Class Read Aloud to Support the Content</w:t>
            </w:r>
          </w:p>
        </w:tc>
        <w:tc>
          <w:tcPr>
            <w:tcW w:w="7290" w:type="dxa"/>
            <w:tcMar>
              <w:left w:w="115" w:type="dxa"/>
              <w:right w:w="115" w:type="dxa"/>
            </w:tcMar>
          </w:tcPr>
          <w:p w:rsidR="00DC4DAA" w:rsidRDefault="00DC4DAA">
            <w:pPr>
              <w:pStyle w:val="normal0"/>
              <w:widowControl w:val="0"/>
              <w:spacing w:after="200" w:line="276" w:lineRule="auto"/>
            </w:pPr>
          </w:p>
        </w:tc>
      </w:tr>
      <w:tr w:rsidR="00DC4DAA">
        <w:tc>
          <w:tcPr>
            <w:tcW w:w="6480" w:type="dxa"/>
            <w:shd w:val="clear" w:color="auto" w:fill="DAEEF3"/>
          </w:tcPr>
          <w:p w:rsidR="00DC4DAA" w:rsidRDefault="00C423E9">
            <w:pPr>
              <w:pStyle w:val="normal0"/>
              <w:jc w:val="center"/>
            </w:pPr>
            <w:r>
              <w:rPr>
                <w:rFonts w:ascii="Cambria" w:eastAsia="Cambria" w:hAnsi="Cambria" w:cs="Cambria"/>
                <w:b/>
                <w:sz w:val="24"/>
              </w:rPr>
              <w:t>Informational/Nonfiction</w:t>
            </w:r>
          </w:p>
        </w:tc>
        <w:tc>
          <w:tcPr>
            <w:tcW w:w="7290" w:type="dxa"/>
            <w:shd w:val="clear" w:color="auto" w:fill="DAEEF3"/>
          </w:tcPr>
          <w:p w:rsidR="00DC4DAA" w:rsidRDefault="00C423E9">
            <w:pPr>
              <w:pStyle w:val="normal0"/>
              <w:jc w:val="center"/>
            </w:pPr>
            <w:r>
              <w:rPr>
                <w:rFonts w:ascii="Cambria" w:eastAsia="Cambria" w:hAnsi="Cambria" w:cs="Cambria"/>
                <w:b/>
                <w:sz w:val="24"/>
              </w:rPr>
              <w:t>Fiction</w:t>
            </w:r>
          </w:p>
        </w:tc>
      </w:tr>
      <w:tr w:rsidR="00DC4DAA">
        <w:tc>
          <w:tcPr>
            <w:tcW w:w="6480" w:type="dxa"/>
          </w:tcPr>
          <w:p w:rsidR="00DC4DAA" w:rsidRPr="00DB0575" w:rsidRDefault="00DB0575">
            <w:pPr>
              <w:pStyle w:val="normal0"/>
              <w:rPr>
                <w:i/>
              </w:rPr>
            </w:pPr>
            <w:r>
              <w:rPr>
                <w:i/>
              </w:rPr>
              <w:t>List specific texts or passages for instruction.</w:t>
            </w:r>
          </w:p>
          <w:p w:rsidR="00DC4DAA" w:rsidRDefault="00DC4DAA">
            <w:pPr>
              <w:pStyle w:val="normal0"/>
            </w:pPr>
          </w:p>
          <w:p w:rsidR="00DC4DAA" w:rsidRDefault="00DC4DAA">
            <w:pPr>
              <w:pStyle w:val="normal0"/>
            </w:pPr>
          </w:p>
          <w:p w:rsidR="00DC4DAA" w:rsidRDefault="00DC4DAA">
            <w:pPr>
              <w:pStyle w:val="normal0"/>
            </w:pPr>
          </w:p>
        </w:tc>
        <w:tc>
          <w:tcPr>
            <w:tcW w:w="7290" w:type="dxa"/>
          </w:tcPr>
          <w:p w:rsidR="00DC4DAA" w:rsidRPr="00DB0575" w:rsidRDefault="00DB0575">
            <w:pPr>
              <w:pStyle w:val="normal0"/>
              <w:rPr>
                <w:i/>
              </w:rPr>
            </w:pPr>
            <w:r>
              <w:rPr>
                <w:i/>
              </w:rPr>
              <w:t>List specific texts or passages for instruction.</w:t>
            </w:r>
          </w:p>
        </w:tc>
      </w:tr>
    </w:tbl>
    <w:p w:rsidR="00DC4DAA" w:rsidRDefault="00DC4DAA">
      <w:pPr>
        <w:pStyle w:val="normal0"/>
        <w:spacing w:after="0" w:line="240" w:lineRule="auto"/>
      </w:pPr>
    </w:p>
    <w:p w:rsidR="00DC4DAA" w:rsidRDefault="00DC4DAA">
      <w:pPr>
        <w:pStyle w:val="normal0"/>
        <w:spacing w:after="0" w:line="240" w:lineRule="auto"/>
      </w:pPr>
    </w:p>
    <w:p w:rsidR="00DC4DAA" w:rsidRDefault="00DC4DAA">
      <w:pPr>
        <w:pStyle w:val="normal0"/>
        <w:spacing w:after="0" w:line="240" w:lineRule="auto"/>
      </w:pPr>
    </w:p>
    <w:tbl>
      <w:tblPr>
        <w:tblStyle w:val="a4"/>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DC4DAA">
        <w:tc>
          <w:tcPr>
            <w:tcW w:w="13770" w:type="dxa"/>
            <w:shd w:val="clear" w:color="auto" w:fill="DAEEF3"/>
          </w:tcPr>
          <w:p w:rsidR="00DC4DAA" w:rsidRDefault="00DC4DAA">
            <w:pPr>
              <w:pStyle w:val="normal0"/>
              <w:jc w:val="center"/>
            </w:pPr>
          </w:p>
          <w:p w:rsidR="00DC4DAA" w:rsidRDefault="00C423E9">
            <w:pPr>
              <w:pStyle w:val="normal0"/>
              <w:jc w:val="center"/>
            </w:pPr>
            <w:r>
              <w:rPr>
                <w:rFonts w:ascii="Cambria" w:eastAsia="Cambria" w:hAnsi="Cambria" w:cs="Cambria"/>
                <w:b/>
                <w:sz w:val="24"/>
              </w:rPr>
              <w:t>Websites and Apps.</w:t>
            </w:r>
          </w:p>
        </w:tc>
      </w:tr>
      <w:tr w:rsidR="00DC4DAA">
        <w:tc>
          <w:tcPr>
            <w:tcW w:w="13770" w:type="dxa"/>
          </w:tcPr>
          <w:p w:rsidR="00DC4DAA" w:rsidRDefault="007D37CA">
            <w:pPr>
              <w:pStyle w:val="normal0"/>
              <w:rPr>
                <w:i/>
              </w:rPr>
            </w:pPr>
            <w:r>
              <w:rPr>
                <w:i/>
              </w:rPr>
              <w:t>Websites, links, videos specific to the instructional weekly unit.</w:t>
            </w:r>
          </w:p>
          <w:p w:rsidR="000068CC" w:rsidRDefault="000068CC">
            <w:pPr>
              <w:pStyle w:val="normal0"/>
              <w:rPr>
                <w:i/>
              </w:rPr>
            </w:pPr>
            <w:r>
              <w:rPr>
                <w:i/>
              </w:rPr>
              <w:t>Categories:</w:t>
            </w:r>
            <w:r w:rsidR="00E4553A">
              <w:rPr>
                <w:i/>
              </w:rPr>
              <w:t xml:space="preserve"> post the link</w:t>
            </w:r>
          </w:p>
          <w:p w:rsidR="000068CC" w:rsidRDefault="000068CC">
            <w:pPr>
              <w:pStyle w:val="normal0"/>
              <w:rPr>
                <w:i/>
              </w:rPr>
            </w:pPr>
            <w:r>
              <w:rPr>
                <w:i/>
              </w:rPr>
              <w:t>Activities:</w:t>
            </w:r>
            <w:r w:rsidR="00E4553A">
              <w:rPr>
                <w:i/>
              </w:rPr>
              <w:t xml:space="preserve"> post the link</w:t>
            </w:r>
          </w:p>
          <w:p w:rsidR="000068CC" w:rsidRDefault="000068CC">
            <w:pPr>
              <w:pStyle w:val="normal0"/>
              <w:rPr>
                <w:i/>
              </w:rPr>
            </w:pPr>
            <w:r>
              <w:rPr>
                <w:i/>
              </w:rPr>
              <w:t xml:space="preserve">Videos: </w:t>
            </w:r>
            <w:r w:rsidR="00F22F36">
              <w:rPr>
                <w:i/>
              </w:rPr>
              <w:t>post the link</w:t>
            </w:r>
          </w:p>
          <w:p w:rsidR="000068CC" w:rsidRDefault="000068CC">
            <w:pPr>
              <w:pStyle w:val="normal0"/>
              <w:rPr>
                <w:i/>
              </w:rPr>
            </w:pPr>
            <w:r>
              <w:rPr>
                <w:i/>
              </w:rPr>
              <w:t xml:space="preserve">Real World relevance and application: this is located </w:t>
            </w:r>
            <w:r w:rsidR="002C607F">
              <w:rPr>
                <w:i/>
              </w:rPr>
              <w:t>with</w:t>
            </w:r>
            <w:r>
              <w:rPr>
                <w:i/>
              </w:rPr>
              <w:t>in the CAS.</w:t>
            </w:r>
          </w:p>
          <w:p w:rsidR="000068CC" w:rsidRPr="00DB0575" w:rsidRDefault="000068CC">
            <w:pPr>
              <w:pStyle w:val="normal0"/>
              <w:rPr>
                <w:i/>
              </w:rPr>
            </w:pPr>
          </w:p>
          <w:p w:rsidR="00DC4DAA" w:rsidRDefault="00DC4DAA">
            <w:pPr>
              <w:pStyle w:val="normal0"/>
            </w:pPr>
          </w:p>
          <w:p w:rsidR="00DC4DAA" w:rsidRDefault="00DC4DAA">
            <w:pPr>
              <w:pStyle w:val="normal0"/>
            </w:pPr>
          </w:p>
          <w:p w:rsidR="00DC4DAA" w:rsidRDefault="00DC4DAA">
            <w:pPr>
              <w:pStyle w:val="normal0"/>
            </w:pPr>
          </w:p>
        </w:tc>
      </w:tr>
    </w:tbl>
    <w:p w:rsidR="00DC4DAA" w:rsidRDefault="00DC4DAA">
      <w:pPr>
        <w:pStyle w:val="normal0"/>
        <w:spacing w:after="0" w:line="240" w:lineRule="auto"/>
      </w:pPr>
    </w:p>
    <w:p w:rsidR="00DC4DAA" w:rsidRDefault="00DC4DAA">
      <w:pPr>
        <w:pStyle w:val="normal0"/>
        <w:spacing w:after="0" w:line="240" w:lineRule="auto"/>
      </w:pPr>
    </w:p>
    <w:p w:rsidR="002C607F" w:rsidRDefault="002C607F">
      <w:pPr>
        <w:pStyle w:val="normal0"/>
        <w:spacing w:after="0" w:line="240" w:lineRule="auto"/>
      </w:pPr>
    </w:p>
    <w:tbl>
      <w:tblPr>
        <w:tblStyle w:val="a5"/>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DC4DAA">
        <w:tc>
          <w:tcPr>
            <w:tcW w:w="13770" w:type="dxa"/>
            <w:shd w:val="clear" w:color="auto" w:fill="DAEEF3"/>
          </w:tcPr>
          <w:p w:rsidR="00DC4DAA" w:rsidRDefault="00DC4DAA">
            <w:pPr>
              <w:pStyle w:val="normal0"/>
              <w:jc w:val="center"/>
            </w:pPr>
          </w:p>
          <w:p w:rsidR="00DC4DAA" w:rsidRDefault="00C423E9">
            <w:pPr>
              <w:pStyle w:val="normal0"/>
              <w:jc w:val="center"/>
            </w:pPr>
            <w:r>
              <w:rPr>
                <w:rFonts w:ascii="Cambria" w:eastAsia="Cambria" w:hAnsi="Cambria" w:cs="Cambria"/>
                <w:b/>
                <w:sz w:val="24"/>
              </w:rPr>
              <w:lastRenderedPageBreak/>
              <w:t>Materials (Manipulatives)</w:t>
            </w:r>
          </w:p>
        </w:tc>
      </w:tr>
      <w:tr w:rsidR="00DC4DAA">
        <w:tc>
          <w:tcPr>
            <w:tcW w:w="13770" w:type="dxa"/>
          </w:tcPr>
          <w:p w:rsidR="00DC4DAA" w:rsidRPr="00E4553A" w:rsidRDefault="00E4553A">
            <w:pPr>
              <w:pStyle w:val="normal0"/>
              <w:rPr>
                <w:i/>
              </w:rPr>
            </w:pPr>
            <w:r>
              <w:rPr>
                <w:i/>
              </w:rPr>
              <w:lastRenderedPageBreak/>
              <w:t>Gather m</w:t>
            </w:r>
            <w:r w:rsidR="00C40AFB">
              <w:rPr>
                <w:i/>
              </w:rPr>
              <w:t>aterials specific for the</w:t>
            </w:r>
            <w:r>
              <w:rPr>
                <w:i/>
              </w:rPr>
              <w:t xml:space="preserve"> instructional unit.</w:t>
            </w:r>
          </w:p>
          <w:p w:rsidR="00DC4DAA" w:rsidRDefault="00DC4DAA">
            <w:pPr>
              <w:pStyle w:val="normal0"/>
            </w:pPr>
          </w:p>
          <w:p w:rsidR="00DC4DAA" w:rsidRDefault="00DC4DAA">
            <w:pPr>
              <w:pStyle w:val="normal0"/>
            </w:pPr>
          </w:p>
          <w:p w:rsidR="00DC4DAA" w:rsidRDefault="00DC4DAA">
            <w:pPr>
              <w:pStyle w:val="normal0"/>
            </w:pPr>
          </w:p>
        </w:tc>
      </w:tr>
    </w:tbl>
    <w:p w:rsidR="00DC4DAA" w:rsidRDefault="00DC4DAA">
      <w:pPr>
        <w:pStyle w:val="normal0"/>
        <w:spacing w:after="0" w:line="240" w:lineRule="auto"/>
      </w:pPr>
    </w:p>
    <w:p w:rsidR="00DC4DAA" w:rsidRDefault="00DC4DAA">
      <w:pPr>
        <w:pStyle w:val="normal0"/>
        <w:spacing w:after="0" w:line="240" w:lineRule="auto"/>
      </w:pPr>
    </w:p>
    <w:tbl>
      <w:tblPr>
        <w:tblStyle w:val="a6"/>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DC4DAA">
        <w:tc>
          <w:tcPr>
            <w:tcW w:w="2700" w:type="dxa"/>
            <w:shd w:val="clear" w:color="auto" w:fill="92CDDC"/>
          </w:tcPr>
          <w:p w:rsidR="00DC4DAA" w:rsidRDefault="00C423E9">
            <w:pPr>
              <w:pStyle w:val="normal0"/>
              <w:jc w:val="center"/>
            </w:pPr>
            <w:r>
              <w:rPr>
                <w:rFonts w:ascii="Cambria" w:eastAsia="Cambria" w:hAnsi="Cambria" w:cs="Cambria"/>
                <w:b/>
                <w:sz w:val="24"/>
              </w:rPr>
              <w:t>Week One</w:t>
            </w:r>
          </w:p>
        </w:tc>
        <w:tc>
          <w:tcPr>
            <w:tcW w:w="720" w:type="dxa"/>
            <w:tcMar>
              <w:left w:w="115" w:type="dxa"/>
              <w:right w:w="115" w:type="dxa"/>
            </w:tcMar>
          </w:tcPr>
          <w:p w:rsidR="00DC4DAA" w:rsidRDefault="00DC4DAA">
            <w:pPr>
              <w:pStyle w:val="normal0"/>
              <w:widowControl w:val="0"/>
              <w:spacing w:after="200" w:line="276" w:lineRule="auto"/>
            </w:pPr>
          </w:p>
        </w:tc>
        <w:tc>
          <w:tcPr>
            <w:tcW w:w="1440" w:type="dxa"/>
            <w:tcMar>
              <w:left w:w="115" w:type="dxa"/>
              <w:right w:w="115" w:type="dxa"/>
            </w:tcMar>
          </w:tcPr>
          <w:p w:rsidR="00DC4DAA" w:rsidRDefault="00DC4DAA">
            <w:pPr>
              <w:pStyle w:val="normal0"/>
              <w:widowControl w:val="0"/>
              <w:spacing w:after="200" w:line="276" w:lineRule="auto"/>
            </w:pPr>
          </w:p>
        </w:tc>
        <w:tc>
          <w:tcPr>
            <w:tcW w:w="1980" w:type="dxa"/>
            <w:tcMar>
              <w:left w:w="115" w:type="dxa"/>
              <w:right w:w="115" w:type="dxa"/>
            </w:tcMar>
          </w:tcPr>
          <w:p w:rsidR="00DC4DAA" w:rsidRDefault="00DC4DAA">
            <w:pPr>
              <w:pStyle w:val="normal0"/>
              <w:widowControl w:val="0"/>
              <w:spacing w:after="200" w:line="276" w:lineRule="auto"/>
            </w:pPr>
          </w:p>
        </w:tc>
        <w:tc>
          <w:tcPr>
            <w:tcW w:w="3690" w:type="dxa"/>
            <w:tcMar>
              <w:left w:w="115" w:type="dxa"/>
              <w:right w:w="115" w:type="dxa"/>
            </w:tcMar>
          </w:tcPr>
          <w:p w:rsidR="00DC4DAA" w:rsidRDefault="00DC4DAA">
            <w:pPr>
              <w:pStyle w:val="normal0"/>
              <w:widowControl w:val="0"/>
              <w:spacing w:after="200" w:line="276" w:lineRule="auto"/>
            </w:pPr>
          </w:p>
        </w:tc>
        <w:tc>
          <w:tcPr>
            <w:tcW w:w="3240" w:type="dxa"/>
            <w:tcMar>
              <w:left w:w="115" w:type="dxa"/>
              <w:right w:w="115" w:type="dxa"/>
            </w:tcMar>
          </w:tcPr>
          <w:p w:rsidR="00DC4DAA" w:rsidRDefault="00DC4DAA">
            <w:pPr>
              <w:pStyle w:val="normal0"/>
              <w:widowControl w:val="0"/>
              <w:spacing w:after="200" w:line="276" w:lineRule="auto"/>
            </w:pPr>
          </w:p>
        </w:tc>
      </w:tr>
      <w:tr w:rsidR="00DC4DAA">
        <w:tc>
          <w:tcPr>
            <w:tcW w:w="2700" w:type="dxa"/>
            <w:shd w:val="clear" w:color="auto" w:fill="DAEEF3"/>
          </w:tcPr>
          <w:p w:rsidR="00DC4DAA" w:rsidRPr="00E4553A" w:rsidRDefault="00F22F36">
            <w:pPr>
              <w:pStyle w:val="normal0"/>
              <w:rPr>
                <w:i/>
              </w:rPr>
            </w:pPr>
            <w:r>
              <w:rPr>
                <w:rFonts w:ascii="Cambria" w:eastAsia="Cambria" w:hAnsi="Cambria" w:cs="Cambria"/>
                <w:sz w:val="24"/>
              </w:rPr>
              <w:t>Learning Experience #1  X</w:t>
            </w:r>
            <w:r w:rsidR="00C40AFB">
              <w:rPr>
                <w:rFonts w:ascii="Cambria" w:eastAsia="Cambria" w:hAnsi="Cambria" w:cs="Cambria"/>
                <w:sz w:val="24"/>
              </w:rPr>
              <w:t xml:space="preserve"> number of</w:t>
            </w:r>
            <w:bookmarkStart w:id="1" w:name="_GoBack"/>
            <w:bookmarkEnd w:id="1"/>
            <w:r w:rsidR="00C423E9">
              <w:rPr>
                <w:rFonts w:ascii="Cambria" w:eastAsia="Cambria" w:hAnsi="Cambria" w:cs="Cambria"/>
                <w:sz w:val="24"/>
              </w:rPr>
              <w:t xml:space="preserve"> Days </w:t>
            </w:r>
            <w:r>
              <w:rPr>
                <w:rFonts w:ascii="Cambria" w:eastAsia="Cambria" w:hAnsi="Cambria" w:cs="Cambria"/>
                <w:sz w:val="24"/>
              </w:rPr>
              <w:t xml:space="preserve">. </w:t>
            </w:r>
            <w:r w:rsidR="00E4553A">
              <w:rPr>
                <w:rFonts w:ascii="Cambria" w:eastAsia="Cambria" w:hAnsi="Cambria" w:cs="Cambria"/>
                <w:i/>
                <w:sz w:val="24"/>
              </w:rPr>
              <w:t xml:space="preserve"> Specific to daily instruction. Refer back to “weeks at a glance” page 1 of this template.</w:t>
            </w:r>
          </w:p>
        </w:tc>
        <w:tc>
          <w:tcPr>
            <w:tcW w:w="720" w:type="dxa"/>
            <w:tcMar>
              <w:left w:w="115" w:type="dxa"/>
              <w:right w:w="115" w:type="dxa"/>
            </w:tcMar>
          </w:tcPr>
          <w:p w:rsidR="00DC4DAA" w:rsidRDefault="00DC4DAA">
            <w:pPr>
              <w:pStyle w:val="normal0"/>
              <w:widowControl w:val="0"/>
              <w:spacing w:after="200" w:line="276" w:lineRule="auto"/>
            </w:pPr>
          </w:p>
        </w:tc>
        <w:tc>
          <w:tcPr>
            <w:tcW w:w="1440" w:type="dxa"/>
            <w:tcMar>
              <w:left w:w="115" w:type="dxa"/>
              <w:right w:w="115" w:type="dxa"/>
            </w:tcMar>
          </w:tcPr>
          <w:p w:rsidR="00DC4DAA" w:rsidRDefault="00DC4DAA">
            <w:pPr>
              <w:pStyle w:val="normal0"/>
              <w:widowControl w:val="0"/>
              <w:spacing w:after="200" w:line="276" w:lineRule="auto"/>
            </w:pPr>
          </w:p>
        </w:tc>
        <w:tc>
          <w:tcPr>
            <w:tcW w:w="1980" w:type="dxa"/>
            <w:tcMar>
              <w:left w:w="115" w:type="dxa"/>
              <w:right w:w="115" w:type="dxa"/>
            </w:tcMar>
          </w:tcPr>
          <w:p w:rsidR="00DC4DAA" w:rsidRDefault="00DC4DAA">
            <w:pPr>
              <w:pStyle w:val="normal0"/>
              <w:widowControl w:val="0"/>
              <w:spacing w:after="200" w:line="276" w:lineRule="auto"/>
            </w:pPr>
          </w:p>
        </w:tc>
        <w:tc>
          <w:tcPr>
            <w:tcW w:w="3690" w:type="dxa"/>
            <w:tcMar>
              <w:left w:w="115" w:type="dxa"/>
              <w:right w:w="115" w:type="dxa"/>
            </w:tcMar>
          </w:tcPr>
          <w:p w:rsidR="00DC4DAA" w:rsidRDefault="00DC4DAA">
            <w:pPr>
              <w:pStyle w:val="normal0"/>
              <w:widowControl w:val="0"/>
              <w:spacing w:after="200" w:line="276" w:lineRule="auto"/>
            </w:pPr>
          </w:p>
        </w:tc>
        <w:tc>
          <w:tcPr>
            <w:tcW w:w="3240" w:type="dxa"/>
            <w:tcMar>
              <w:left w:w="115" w:type="dxa"/>
              <w:right w:w="115" w:type="dxa"/>
            </w:tcMar>
          </w:tcPr>
          <w:p w:rsidR="00DC4DAA" w:rsidRDefault="00DC4DAA">
            <w:pPr>
              <w:pStyle w:val="normal0"/>
              <w:widowControl w:val="0"/>
              <w:spacing w:after="200" w:line="276" w:lineRule="auto"/>
            </w:pPr>
          </w:p>
        </w:tc>
      </w:tr>
      <w:tr w:rsidR="00DC4DAA">
        <w:tc>
          <w:tcPr>
            <w:tcW w:w="2700" w:type="dxa"/>
            <w:shd w:val="clear" w:color="auto" w:fill="DAEEF3"/>
          </w:tcPr>
          <w:p w:rsidR="00E4553A" w:rsidRDefault="00C423E9">
            <w:pPr>
              <w:pStyle w:val="normal0"/>
              <w:rPr>
                <w:rFonts w:ascii="Cambria" w:eastAsia="Cambria" w:hAnsi="Cambria" w:cs="Cambria"/>
                <w:b/>
                <w:sz w:val="24"/>
              </w:rPr>
            </w:pPr>
            <w:r>
              <w:rPr>
                <w:rFonts w:ascii="Cambria" w:eastAsia="Cambria" w:hAnsi="Cambria" w:cs="Cambria"/>
                <w:sz w:val="24"/>
              </w:rPr>
              <w:t>Standard(s), GLE</w:t>
            </w:r>
            <w:r w:rsidR="00842157">
              <w:rPr>
                <w:rFonts w:ascii="Cambria" w:eastAsia="Cambria" w:hAnsi="Cambria" w:cs="Cambria"/>
                <w:sz w:val="24"/>
              </w:rPr>
              <w:t xml:space="preserve"> (grade level expectations: the articulation, at each grade level, concepts, and skills of a standard that indicate a student is making progress)</w:t>
            </w:r>
            <w:r>
              <w:rPr>
                <w:rFonts w:ascii="Cambria" w:eastAsia="Cambria" w:hAnsi="Cambria" w:cs="Cambria"/>
                <w:sz w:val="24"/>
              </w:rPr>
              <w:t xml:space="preserve"> and </w:t>
            </w:r>
            <w:r w:rsidR="003B39A6">
              <w:rPr>
                <w:rFonts w:ascii="Cambria" w:eastAsia="Cambria" w:hAnsi="Cambria" w:cs="Cambria"/>
                <w:sz w:val="24"/>
              </w:rPr>
              <w:t>EO (</w:t>
            </w:r>
            <w:r w:rsidR="00842157">
              <w:rPr>
                <w:rFonts w:ascii="Cambria" w:eastAsia="Cambria" w:hAnsi="Cambria" w:cs="Cambria"/>
                <w:sz w:val="24"/>
              </w:rPr>
              <w:t>evidence outcomes: the indication that a student is meeting an expectation at the mastery level. “How do we know that a student can do it”</w:t>
            </w:r>
            <w:r w:rsidR="003B39A6">
              <w:rPr>
                <w:rFonts w:ascii="Cambria" w:eastAsia="Cambria" w:hAnsi="Cambria" w:cs="Cambria"/>
                <w:sz w:val="24"/>
              </w:rPr>
              <w:t xml:space="preserve">?) </w:t>
            </w:r>
            <w:r w:rsidR="00E4553A">
              <w:rPr>
                <w:rFonts w:ascii="Cambria" w:eastAsia="Cambria" w:hAnsi="Cambria" w:cs="Cambria"/>
                <w:b/>
                <w:sz w:val="24"/>
              </w:rPr>
              <w:t>Specifically write out the Standard, GLE and EO</w:t>
            </w:r>
            <w:r w:rsidR="00F22F36">
              <w:rPr>
                <w:rFonts w:ascii="Cambria" w:eastAsia="Cambria" w:hAnsi="Cambria" w:cs="Cambria"/>
                <w:b/>
                <w:sz w:val="24"/>
              </w:rPr>
              <w:t xml:space="preserve"> as written on the CAS</w:t>
            </w:r>
            <w:r w:rsidR="00E4553A">
              <w:rPr>
                <w:rFonts w:ascii="Cambria" w:eastAsia="Cambria" w:hAnsi="Cambria" w:cs="Cambria"/>
                <w:b/>
                <w:sz w:val="24"/>
              </w:rPr>
              <w:t>.</w:t>
            </w:r>
          </w:p>
          <w:p w:rsidR="00E4553A" w:rsidRPr="00E4553A" w:rsidRDefault="00E4553A" w:rsidP="00E4553A">
            <w:pPr>
              <w:pStyle w:val="normal0"/>
              <w:numPr>
                <w:ilvl w:val="0"/>
                <w:numId w:val="1"/>
              </w:numPr>
              <w:rPr>
                <w:rFonts w:ascii="Cambria" w:eastAsia="Cambria" w:hAnsi="Cambria" w:cs="Cambria"/>
                <w:b/>
                <w:sz w:val="24"/>
              </w:rPr>
            </w:pPr>
            <w:r>
              <w:rPr>
                <w:rFonts w:ascii="Cambria" w:eastAsia="Cambria" w:hAnsi="Cambria" w:cs="Cambria"/>
                <w:b/>
                <w:sz w:val="24"/>
              </w:rPr>
              <w:t>S.1-GLE.1-E.O.a</w:t>
            </w:r>
          </w:p>
          <w:p w:rsidR="00E4553A" w:rsidRDefault="00E4553A" w:rsidP="00E4553A">
            <w:pPr>
              <w:pStyle w:val="normal0"/>
              <w:numPr>
                <w:ilvl w:val="0"/>
                <w:numId w:val="1"/>
              </w:numPr>
              <w:rPr>
                <w:rFonts w:ascii="Cambria" w:eastAsia="Cambria" w:hAnsi="Cambria" w:cs="Cambria"/>
                <w:i/>
                <w:sz w:val="24"/>
              </w:rPr>
            </w:pPr>
            <w:r>
              <w:rPr>
                <w:rFonts w:ascii="Cambria" w:eastAsia="Cambria" w:hAnsi="Cambria" w:cs="Cambria"/>
                <w:i/>
                <w:sz w:val="24"/>
              </w:rPr>
              <w:t xml:space="preserve">(Standard 1, Number Sense, </w:t>
            </w:r>
            <w:r>
              <w:rPr>
                <w:rFonts w:ascii="Cambria" w:eastAsia="Cambria" w:hAnsi="Cambria" w:cs="Cambria"/>
                <w:i/>
                <w:sz w:val="24"/>
              </w:rPr>
              <w:lastRenderedPageBreak/>
              <w:t xml:space="preserve">Properties, and Operations – </w:t>
            </w:r>
          </w:p>
          <w:p w:rsidR="00E4553A" w:rsidRDefault="00E4553A" w:rsidP="00E4553A">
            <w:pPr>
              <w:pStyle w:val="normal0"/>
              <w:numPr>
                <w:ilvl w:val="0"/>
                <w:numId w:val="1"/>
              </w:numPr>
              <w:rPr>
                <w:rFonts w:ascii="Cambria" w:eastAsia="Cambria" w:hAnsi="Cambria" w:cs="Cambria"/>
                <w:i/>
                <w:sz w:val="24"/>
              </w:rPr>
            </w:pPr>
            <w:r>
              <w:rPr>
                <w:rFonts w:ascii="Cambria" w:eastAsia="Cambria" w:hAnsi="Cambria" w:cs="Cambria"/>
                <w:i/>
                <w:sz w:val="24"/>
              </w:rPr>
              <w:t xml:space="preserve">GLE. 1. The decimal number system describes place value…- </w:t>
            </w:r>
          </w:p>
          <w:p w:rsidR="00E4553A" w:rsidRPr="004A34C1" w:rsidRDefault="00E4553A" w:rsidP="00E4553A">
            <w:pPr>
              <w:pStyle w:val="normal0"/>
              <w:numPr>
                <w:ilvl w:val="0"/>
                <w:numId w:val="1"/>
              </w:numPr>
              <w:rPr>
                <w:rFonts w:ascii="Cambria" w:eastAsia="Cambria" w:hAnsi="Cambria" w:cs="Cambria"/>
                <w:i/>
                <w:sz w:val="24"/>
              </w:rPr>
            </w:pPr>
            <w:r>
              <w:rPr>
                <w:rFonts w:ascii="Cambria" w:eastAsia="Cambria" w:hAnsi="Cambria" w:cs="Cambria"/>
                <w:i/>
                <w:sz w:val="24"/>
              </w:rPr>
              <w:t>E.O a – explain that in a multi-digit number…</w:t>
            </w:r>
          </w:p>
          <w:p w:rsidR="00E4553A" w:rsidRDefault="00E4553A">
            <w:pPr>
              <w:pStyle w:val="normal0"/>
              <w:rPr>
                <w:rFonts w:ascii="Cambria" w:eastAsia="Cambria" w:hAnsi="Cambria" w:cs="Cambria"/>
                <w:b/>
                <w:sz w:val="24"/>
              </w:rPr>
            </w:pPr>
          </w:p>
          <w:p w:rsidR="006537F1" w:rsidRDefault="006537F1">
            <w:pPr>
              <w:pStyle w:val="normal0"/>
              <w:rPr>
                <w:rFonts w:ascii="Cambria" w:eastAsia="Cambria" w:hAnsi="Cambria" w:cs="Cambria"/>
                <w:b/>
                <w:sz w:val="24"/>
              </w:rPr>
            </w:pPr>
          </w:p>
          <w:p w:rsidR="00E4553A" w:rsidRDefault="00E4553A" w:rsidP="00E4553A">
            <w:pPr>
              <w:pStyle w:val="normal0"/>
            </w:pPr>
          </w:p>
        </w:tc>
        <w:tc>
          <w:tcPr>
            <w:tcW w:w="720" w:type="dxa"/>
            <w:shd w:val="clear" w:color="auto" w:fill="DAEEF3"/>
          </w:tcPr>
          <w:p w:rsidR="00DC4DAA" w:rsidRDefault="00C423E9">
            <w:pPr>
              <w:pStyle w:val="normal0"/>
              <w:rPr>
                <w:rFonts w:ascii="Cambria" w:eastAsia="Cambria" w:hAnsi="Cambria" w:cs="Cambria"/>
              </w:rPr>
            </w:pPr>
            <w:r>
              <w:rPr>
                <w:rFonts w:ascii="Cambria" w:eastAsia="Cambria" w:hAnsi="Cambria" w:cs="Cambria"/>
              </w:rPr>
              <w:lastRenderedPageBreak/>
              <w:t>DOK</w:t>
            </w:r>
          </w:p>
          <w:p w:rsidR="00651C21" w:rsidRDefault="00651C21">
            <w:pPr>
              <w:pStyle w:val="normal0"/>
              <w:rPr>
                <w:rFonts w:ascii="Cambria" w:eastAsia="Cambria" w:hAnsi="Cambria" w:cs="Cambria"/>
              </w:rPr>
            </w:pPr>
          </w:p>
          <w:p w:rsidR="00651C21" w:rsidRDefault="00651C21" w:rsidP="00F22F36">
            <w:pPr>
              <w:pStyle w:val="normal0"/>
            </w:pPr>
            <w:r>
              <w:rPr>
                <w:rFonts w:ascii="Cambria" w:eastAsia="Cambria" w:hAnsi="Cambria" w:cs="Cambria"/>
              </w:rPr>
              <w:t>Refer to the Unit planning folder</w:t>
            </w:r>
            <w:r w:rsidR="00F22F36">
              <w:rPr>
                <w:rFonts w:ascii="Cambria" w:eastAsia="Cambria" w:hAnsi="Cambria" w:cs="Cambria"/>
              </w:rPr>
              <w:t xml:space="preserve"> on Google Docs,</w:t>
            </w:r>
            <w:r>
              <w:rPr>
                <w:rFonts w:ascii="Cambria" w:eastAsia="Cambria" w:hAnsi="Cambria" w:cs="Cambria"/>
              </w:rPr>
              <w:t>for specific information on DOK.</w:t>
            </w:r>
          </w:p>
        </w:tc>
        <w:tc>
          <w:tcPr>
            <w:tcW w:w="1440" w:type="dxa"/>
            <w:shd w:val="clear" w:color="auto" w:fill="DAEEF3"/>
          </w:tcPr>
          <w:p w:rsidR="00DC4DAA" w:rsidRDefault="00C423E9">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DC4DAA" w:rsidRDefault="00C423E9">
            <w:pPr>
              <w:pStyle w:val="normal0"/>
            </w:pPr>
            <w:r>
              <w:rPr>
                <w:rFonts w:ascii="Cambria" w:eastAsia="Cambria" w:hAnsi="Cambria" w:cs="Cambria"/>
                <w:sz w:val="24"/>
              </w:rPr>
              <w:t>Objective(s)</w:t>
            </w:r>
          </w:p>
          <w:p w:rsidR="00DC4DAA" w:rsidRDefault="00C423E9">
            <w:pPr>
              <w:pStyle w:val="normal0"/>
            </w:pPr>
            <w:r>
              <w:rPr>
                <w:rFonts w:ascii="Cambria" w:eastAsia="Cambria" w:hAnsi="Cambria" w:cs="Cambria"/>
                <w:i/>
                <w:sz w:val="24"/>
              </w:rPr>
              <w:t>By the end of the learning we will:</w:t>
            </w:r>
          </w:p>
        </w:tc>
        <w:tc>
          <w:tcPr>
            <w:tcW w:w="3690" w:type="dxa"/>
            <w:shd w:val="clear" w:color="auto" w:fill="DAEEF3"/>
          </w:tcPr>
          <w:p w:rsidR="00651C21" w:rsidRPr="00651C21" w:rsidRDefault="00651C21">
            <w:pPr>
              <w:pStyle w:val="normal0"/>
              <w:rPr>
                <w:rFonts w:ascii="Cambria" w:eastAsia="Cambria" w:hAnsi="Cambria" w:cs="Cambria"/>
                <w:i/>
                <w:sz w:val="24"/>
              </w:rPr>
            </w:pPr>
            <w:r>
              <w:rPr>
                <w:rFonts w:ascii="Cambria" w:eastAsia="Cambria" w:hAnsi="Cambria" w:cs="Cambria"/>
                <w:sz w:val="24"/>
              </w:rPr>
              <w:t>Activities –</w:t>
            </w:r>
            <w:r>
              <w:rPr>
                <w:rFonts w:ascii="Cambria" w:eastAsia="Cambria" w:hAnsi="Cambria" w:cs="Cambria"/>
                <w:i/>
                <w:sz w:val="24"/>
              </w:rPr>
              <w:t xml:space="preserve">specific </w:t>
            </w:r>
            <w:r w:rsidR="003E237F">
              <w:rPr>
                <w:rFonts w:ascii="Cambria" w:eastAsia="Cambria" w:hAnsi="Cambria" w:cs="Cambria"/>
                <w:i/>
                <w:sz w:val="24"/>
              </w:rPr>
              <w:t>activities for this unit.</w:t>
            </w:r>
          </w:p>
          <w:p w:rsidR="00651C21" w:rsidRPr="003E237F" w:rsidRDefault="003E237F">
            <w:pPr>
              <w:pStyle w:val="normal0"/>
              <w:rPr>
                <w:rFonts w:ascii="Cambria" w:eastAsia="Cambria" w:hAnsi="Cambria" w:cs="Cambria"/>
                <w:i/>
                <w:sz w:val="24"/>
              </w:rPr>
            </w:pPr>
            <w:r>
              <w:rPr>
                <w:rFonts w:ascii="Cambria" w:eastAsia="Cambria" w:hAnsi="Cambria" w:cs="Cambria"/>
                <w:sz w:val="24"/>
              </w:rPr>
              <w:t xml:space="preserve"> Vocabulary- </w:t>
            </w:r>
            <w:r>
              <w:rPr>
                <w:rFonts w:ascii="Cambria" w:eastAsia="Cambria" w:hAnsi="Cambria" w:cs="Cambria"/>
                <w:i/>
                <w:sz w:val="24"/>
              </w:rPr>
              <w:t>specific vocabulary for this unit.</w:t>
            </w:r>
          </w:p>
          <w:p w:rsidR="00842157" w:rsidRDefault="00842157" w:rsidP="003E237F">
            <w:pPr>
              <w:pStyle w:val="normal0"/>
              <w:numPr>
                <w:ilvl w:val="0"/>
                <w:numId w:val="2"/>
              </w:numPr>
              <w:rPr>
                <w:rFonts w:ascii="Cambria" w:eastAsia="Cambria" w:hAnsi="Cambria" w:cs="Cambria"/>
                <w:i/>
                <w:sz w:val="24"/>
              </w:rPr>
            </w:pPr>
            <w:r w:rsidRPr="003E237F">
              <w:rPr>
                <w:rFonts w:ascii="Cambria" w:eastAsia="Cambria" w:hAnsi="Cambria" w:cs="Cambria"/>
                <w:i/>
                <w:sz w:val="24"/>
              </w:rPr>
              <w:t>Academic  vocabulary (cross discipline language and discourse patterns)</w:t>
            </w:r>
          </w:p>
          <w:p w:rsidR="003E237F" w:rsidRPr="003E237F" w:rsidRDefault="003E237F" w:rsidP="003E237F">
            <w:pPr>
              <w:pStyle w:val="normal0"/>
              <w:numPr>
                <w:ilvl w:val="1"/>
                <w:numId w:val="2"/>
              </w:numPr>
              <w:rPr>
                <w:rFonts w:ascii="Cambria" w:eastAsia="Cambria" w:hAnsi="Cambria" w:cs="Cambria"/>
                <w:i/>
                <w:sz w:val="24"/>
              </w:rPr>
            </w:pPr>
            <w:r>
              <w:rPr>
                <w:rFonts w:ascii="Cambria" w:eastAsia="Cambria" w:hAnsi="Cambria" w:cs="Cambria"/>
                <w:i/>
                <w:sz w:val="24"/>
              </w:rPr>
              <w:t>e.g “summarizing”</w:t>
            </w:r>
          </w:p>
          <w:p w:rsidR="00842157" w:rsidRDefault="00842157" w:rsidP="003E237F">
            <w:pPr>
              <w:pStyle w:val="normal0"/>
              <w:numPr>
                <w:ilvl w:val="0"/>
                <w:numId w:val="2"/>
              </w:numPr>
              <w:rPr>
                <w:rFonts w:ascii="Cambria" w:eastAsia="Cambria" w:hAnsi="Cambria" w:cs="Cambria"/>
                <w:i/>
                <w:sz w:val="24"/>
              </w:rPr>
            </w:pPr>
            <w:r w:rsidRPr="003E237F">
              <w:rPr>
                <w:rFonts w:ascii="Cambria" w:eastAsia="Cambria" w:hAnsi="Cambria" w:cs="Cambria"/>
                <w:i/>
                <w:sz w:val="24"/>
              </w:rPr>
              <w:t>Technical vocabulary (Discipline specific language and discourse patterns)</w:t>
            </w:r>
          </w:p>
          <w:p w:rsidR="003E237F" w:rsidRDefault="003E237F" w:rsidP="003E237F">
            <w:pPr>
              <w:pStyle w:val="normal0"/>
              <w:numPr>
                <w:ilvl w:val="1"/>
                <w:numId w:val="2"/>
              </w:numPr>
              <w:rPr>
                <w:rFonts w:ascii="Cambria" w:eastAsia="Cambria" w:hAnsi="Cambria" w:cs="Cambria"/>
                <w:i/>
                <w:sz w:val="24"/>
              </w:rPr>
            </w:pPr>
            <w:r>
              <w:rPr>
                <w:rFonts w:ascii="Cambria" w:eastAsia="Cambria" w:hAnsi="Cambria" w:cs="Cambria"/>
                <w:i/>
                <w:sz w:val="24"/>
              </w:rPr>
              <w:t>“Bunsen burner”</w:t>
            </w:r>
          </w:p>
          <w:p w:rsidR="003E237F" w:rsidRDefault="003E237F">
            <w:pPr>
              <w:pStyle w:val="normal0"/>
              <w:rPr>
                <w:rFonts w:ascii="Cambria" w:eastAsia="Cambria" w:hAnsi="Cambria" w:cs="Cambria"/>
                <w:sz w:val="24"/>
              </w:rPr>
            </w:pPr>
            <w:r>
              <w:rPr>
                <w:rFonts w:ascii="Cambria" w:eastAsia="Cambria" w:hAnsi="Cambria" w:cs="Cambria"/>
                <w:sz w:val="24"/>
              </w:rPr>
              <w:t>Effort stories:</w:t>
            </w:r>
            <w:r w:rsidR="00540F65">
              <w:rPr>
                <w:rFonts w:ascii="Cambria" w:eastAsia="Cambria" w:hAnsi="Cambria" w:cs="Cambria"/>
                <w:sz w:val="24"/>
              </w:rPr>
              <w:t xml:space="preserve"> Examples of..</w:t>
            </w:r>
          </w:p>
          <w:p w:rsidR="00540F65" w:rsidRDefault="0073234B" w:rsidP="00540F65">
            <w:hyperlink r:id="rId8" w:history="1">
              <w:r w:rsidR="00540F65">
                <w:rPr>
                  <w:rStyle w:val="Hyperlink"/>
                </w:rPr>
                <w:t>https://</w:t>
              </w:r>
            </w:hyperlink>
            <w:hyperlink r:id="rId9" w:history="1">
              <w:r w:rsidR="00540F65">
                <w:rPr>
                  <w:rStyle w:val="Hyperlink"/>
                </w:rPr>
                <w:t>www.youtube.com/watch?v=qiLDMBDPCEY</w:t>
              </w:r>
            </w:hyperlink>
          </w:p>
          <w:p w:rsidR="00540F65" w:rsidRDefault="0073234B" w:rsidP="00540F65">
            <w:hyperlink r:id="rId10" w:history="1">
              <w:r w:rsidR="00540F65">
                <w:rPr>
                  <w:rStyle w:val="Hyperlink"/>
                </w:rPr>
                <w:t>https://www.google.com/search?q=power+of+yet&amp;sourceid=ie7&amp;rls=com.microsoft:en-us:IE-Address&amp;ie=&amp;oe=&amp;gws_rd=ssl</w:t>
              </w:r>
            </w:hyperlink>
          </w:p>
          <w:p w:rsidR="00540F65" w:rsidRDefault="0073234B" w:rsidP="00540F65">
            <w:hyperlink r:id="rId11" w:history="1">
              <w:r w:rsidR="00540F65">
                <w:rPr>
                  <w:rStyle w:val="Hyperlink"/>
                </w:rPr>
                <w:t>http://tedxtalks.ted.com/video/The-Power-of-Yet-%7C-Carol-S-Dwec</w:t>
              </w:r>
            </w:hyperlink>
            <w:r w:rsidR="00540F65">
              <w:t xml:space="preserve"> </w:t>
            </w:r>
          </w:p>
          <w:p w:rsidR="00540F65" w:rsidRDefault="00540F65" w:rsidP="00540F65"/>
          <w:p w:rsidR="003E237F" w:rsidRPr="003E237F" w:rsidRDefault="003E237F">
            <w:pPr>
              <w:pStyle w:val="normal0"/>
            </w:pPr>
          </w:p>
        </w:tc>
        <w:tc>
          <w:tcPr>
            <w:tcW w:w="3240" w:type="dxa"/>
            <w:shd w:val="clear" w:color="auto" w:fill="DAEEF3"/>
          </w:tcPr>
          <w:p w:rsidR="00DC4DAA" w:rsidRDefault="00C423E9">
            <w:pPr>
              <w:pStyle w:val="normal0"/>
              <w:rPr>
                <w:rFonts w:ascii="Cambria" w:eastAsia="Cambria" w:hAnsi="Cambria" w:cs="Cambria"/>
                <w:sz w:val="24"/>
              </w:rPr>
            </w:pPr>
            <w:r>
              <w:rPr>
                <w:rFonts w:ascii="Cambria" w:eastAsia="Cambria" w:hAnsi="Cambria" w:cs="Cambria"/>
                <w:sz w:val="24"/>
              </w:rPr>
              <w:lastRenderedPageBreak/>
              <w:t xml:space="preserve">Resources (Books, materials, apps., websites, hands-on </w:t>
            </w:r>
            <w:r w:rsidR="00842157">
              <w:rPr>
                <w:rFonts w:ascii="Cambria" w:eastAsia="Cambria" w:hAnsi="Cambria" w:cs="Cambria"/>
                <w:sz w:val="24"/>
              </w:rPr>
              <w:t>manipulatives</w:t>
            </w:r>
            <w:r>
              <w:rPr>
                <w:rFonts w:ascii="Cambria" w:eastAsia="Cambria" w:hAnsi="Cambria" w:cs="Cambria"/>
                <w:sz w:val="24"/>
              </w:rPr>
              <w:t>)</w:t>
            </w:r>
          </w:p>
          <w:p w:rsidR="003E237F" w:rsidRDefault="003E237F">
            <w:pPr>
              <w:pStyle w:val="normal0"/>
              <w:rPr>
                <w:rFonts w:ascii="Cambria" w:eastAsia="Cambria" w:hAnsi="Cambria" w:cs="Cambria"/>
                <w:i/>
                <w:sz w:val="24"/>
              </w:rPr>
            </w:pPr>
            <w:r>
              <w:rPr>
                <w:rFonts w:ascii="Cambria" w:eastAsia="Cambria" w:hAnsi="Cambria" w:cs="Cambria"/>
                <w:i/>
                <w:sz w:val="24"/>
              </w:rPr>
              <w:t>For example:</w:t>
            </w:r>
          </w:p>
          <w:p w:rsidR="003E237F" w:rsidRDefault="003E237F" w:rsidP="003E237F">
            <w:pPr>
              <w:pStyle w:val="normal0"/>
              <w:numPr>
                <w:ilvl w:val="0"/>
                <w:numId w:val="3"/>
              </w:numPr>
              <w:rPr>
                <w:i/>
              </w:rPr>
            </w:pPr>
            <w:r>
              <w:rPr>
                <w:i/>
              </w:rPr>
              <w:t>Engage NY</w:t>
            </w:r>
          </w:p>
          <w:p w:rsidR="003E237F" w:rsidRDefault="003E237F" w:rsidP="003E237F">
            <w:pPr>
              <w:pStyle w:val="normal0"/>
              <w:numPr>
                <w:ilvl w:val="0"/>
                <w:numId w:val="3"/>
              </w:numPr>
              <w:rPr>
                <w:i/>
              </w:rPr>
            </w:pPr>
            <w:r>
              <w:rPr>
                <w:i/>
              </w:rPr>
              <w:t>Achieve the Core</w:t>
            </w:r>
          </w:p>
          <w:p w:rsidR="003E237F" w:rsidRDefault="003E237F" w:rsidP="003E237F">
            <w:pPr>
              <w:pStyle w:val="normal0"/>
              <w:numPr>
                <w:ilvl w:val="0"/>
                <w:numId w:val="3"/>
              </w:numPr>
              <w:rPr>
                <w:i/>
              </w:rPr>
            </w:pPr>
            <w:r>
              <w:rPr>
                <w:i/>
              </w:rPr>
              <w:t>Reading Street</w:t>
            </w:r>
          </w:p>
          <w:p w:rsidR="003E237F" w:rsidRPr="003E237F" w:rsidRDefault="003E237F" w:rsidP="003E237F">
            <w:pPr>
              <w:pStyle w:val="normal0"/>
              <w:ind w:left="720"/>
              <w:rPr>
                <w:i/>
              </w:rPr>
            </w:pPr>
          </w:p>
        </w:tc>
      </w:tr>
      <w:tr w:rsidR="00DC4DAA">
        <w:tc>
          <w:tcPr>
            <w:tcW w:w="2700" w:type="dxa"/>
          </w:tcPr>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tc>
        <w:tc>
          <w:tcPr>
            <w:tcW w:w="720" w:type="dxa"/>
          </w:tcPr>
          <w:p w:rsidR="00DC4DAA" w:rsidRDefault="00DC4DAA">
            <w:pPr>
              <w:pStyle w:val="normal0"/>
            </w:pPr>
          </w:p>
          <w:p w:rsidR="00DC4DAA" w:rsidRDefault="00DC4DAA">
            <w:pPr>
              <w:pStyle w:val="normal0"/>
            </w:pPr>
          </w:p>
          <w:p w:rsidR="00DC4DAA" w:rsidRDefault="00C423E9">
            <w:pPr>
              <w:pStyle w:val="normal0"/>
            </w:pPr>
            <w:r>
              <w:rPr>
                <w:i/>
                <w:sz w:val="24"/>
              </w:rPr>
              <w:t xml:space="preserve"> </w:t>
            </w: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tc>
        <w:tc>
          <w:tcPr>
            <w:tcW w:w="1440" w:type="dxa"/>
          </w:tcPr>
          <w:p w:rsidR="00DC4DAA" w:rsidRDefault="00DC4DAA">
            <w:pPr>
              <w:pStyle w:val="normal0"/>
            </w:pPr>
          </w:p>
          <w:p w:rsidR="00DC4DAA" w:rsidRDefault="00DC4DAA">
            <w:pPr>
              <w:pStyle w:val="normal0"/>
            </w:pPr>
          </w:p>
          <w:p w:rsidR="00DC4DAA" w:rsidRDefault="00DC4DAA">
            <w:pPr>
              <w:pStyle w:val="normal0"/>
            </w:pPr>
          </w:p>
        </w:tc>
        <w:tc>
          <w:tcPr>
            <w:tcW w:w="1980" w:type="dxa"/>
          </w:tcPr>
          <w:p w:rsidR="00DC4DAA" w:rsidRDefault="00C423E9">
            <w:pPr>
              <w:pStyle w:val="normal0"/>
            </w:pPr>
            <w:r>
              <w:rPr>
                <w:rFonts w:ascii="Cambria" w:eastAsia="Cambria" w:hAnsi="Cambria" w:cs="Cambria"/>
                <w:sz w:val="24"/>
              </w:rPr>
              <w:t xml:space="preserve">KNOW: </w:t>
            </w:r>
          </w:p>
          <w:p w:rsidR="00DC4DAA" w:rsidRDefault="00DC4DAA">
            <w:pPr>
              <w:pStyle w:val="normal0"/>
            </w:pPr>
          </w:p>
          <w:p w:rsidR="00DC4DAA" w:rsidRDefault="00C423E9">
            <w:pPr>
              <w:pStyle w:val="normal0"/>
            </w:pPr>
            <w:r>
              <w:rPr>
                <w:rFonts w:ascii="Cambria" w:eastAsia="Cambria" w:hAnsi="Cambria" w:cs="Cambria"/>
                <w:sz w:val="24"/>
              </w:rPr>
              <w:t xml:space="preserve">UNDERSTAND:  </w:t>
            </w:r>
          </w:p>
          <w:p w:rsidR="00DC4DAA" w:rsidRDefault="00DC4DAA">
            <w:pPr>
              <w:pStyle w:val="normal0"/>
            </w:pPr>
          </w:p>
          <w:p w:rsidR="00DC4DAA" w:rsidRDefault="00DC4DAA">
            <w:pPr>
              <w:pStyle w:val="normal0"/>
            </w:pPr>
          </w:p>
          <w:p w:rsidR="00DC4DAA" w:rsidRDefault="00C423E9">
            <w:pPr>
              <w:pStyle w:val="normal0"/>
            </w:pPr>
            <w:r>
              <w:rPr>
                <w:rFonts w:ascii="Cambria" w:eastAsia="Cambria" w:hAnsi="Cambria" w:cs="Cambria"/>
                <w:sz w:val="24"/>
              </w:rPr>
              <w:t xml:space="preserve">BE ABLE TO DO:  </w:t>
            </w:r>
          </w:p>
        </w:tc>
        <w:tc>
          <w:tcPr>
            <w:tcW w:w="3690" w:type="dxa"/>
          </w:tcPr>
          <w:p w:rsidR="00DC4DAA" w:rsidRDefault="00DC4DAA">
            <w:pPr>
              <w:pStyle w:val="normal0"/>
            </w:pPr>
          </w:p>
          <w:p w:rsidR="00DC4DAA" w:rsidRDefault="00C423E9">
            <w:pPr>
              <w:pStyle w:val="normal0"/>
            </w:pPr>
            <w:r>
              <w:rPr>
                <w:rFonts w:ascii="Cambria" w:eastAsia="Cambria" w:hAnsi="Cambria" w:cs="Cambria"/>
                <w:sz w:val="24"/>
              </w:rPr>
              <w:t xml:space="preserve">1. </w:t>
            </w:r>
          </w:p>
          <w:p w:rsidR="00DC4DAA" w:rsidRDefault="00DC4DAA">
            <w:pPr>
              <w:pStyle w:val="normal0"/>
            </w:pPr>
          </w:p>
          <w:p w:rsidR="00DC4DAA" w:rsidRDefault="00C423E9">
            <w:pPr>
              <w:pStyle w:val="normal0"/>
            </w:pPr>
            <w:r>
              <w:rPr>
                <w:rFonts w:ascii="Cambria" w:eastAsia="Cambria" w:hAnsi="Cambria" w:cs="Cambria"/>
                <w:sz w:val="24"/>
              </w:rPr>
              <w:t xml:space="preserve">2. </w:t>
            </w:r>
          </w:p>
          <w:p w:rsidR="00DC4DAA" w:rsidRDefault="00DC4DAA">
            <w:pPr>
              <w:pStyle w:val="normal0"/>
            </w:pPr>
          </w:p>
          <w:p w:rsidR="00DC4DAA" w:rsidRDefault="00C423E9">
            <w:pPr>
              <w:pStyle w:val="normal0"/>
            </w:pPr>
            <w:r>
              <w:rPr>
                <w:rFonts w:ascii="Cambria" w:eastAsia="Cambria" w:hAnsi="Cambria" w:cs="Cambria"/>
                <w:sz w:val="24"/>
              </w:rPr>
              <w:t xml:space="preserve">3. </w:t>
            </w:r>
          </w:p>
          <w:p w:rsidR="00DC4DAA" w:rsidRDefault="00DC4DAA">
            <w:pPr>
              <w:pStyle w:val="normal0"/>
            </w:pPr>
          </w:p>
          <w:p w:rsidR="00DC4DAA" w:rsidRDefault="00C423E9">
            <w:pPr>
              <w:pStyle w:val="normal0"/>
            </w:pPr>
            <w:r>
              <w:rPr>
                <w:rFonts w:ascii="Cambria" w:eastAsia="Cambria" w:hAnsi="Cambria" w:cs="Cambria"/>
                <w:sz w:val="24"/>
              </w:rPr>
              <w:t>4.</w:t>
            </w:r>
          </w:p>
          <w:p w:rsidR="00DC4DAA" w:rsidRDefault="00DC4DAA">
            <w:pPr>
              <w:pStyle w:val="normal0"/>
            </w:pPr>
          </w:p>
          <w:p w:rsidR="00DC4DAA" w:rsidRDefault="00C423E9">
            <w:pPr>
              <w:pStyle w:val="normal0"/>
            </w:pPr>
            <w:r>
              <w:rPr>
                <w:rFonts w:ascii="Cambria" w:eastAsia="Cambria" w:hAnsi="Cambria" w:cs="Cambria"/>
                <w:sz w:val="24"/>
              </w:rPr>
              <w:t>5.</w:t>
            </w:r>
          </w:p>
          <w:p w:rsidR="00DC4DAA" w:rsidRDefault="00DC4DAA">
            <w:pPr>
              <w:pStyle w:val="normal0"/>
            </w:pPr>
          </w:p>
          <w:p w:rsidR="00DC4DAA" w:rsidRDefault="00C423E9">
            <w:pPr>
              <w:pStyle w:val="normal0"/>
            </w:pPr>
            <w:r>
              <w:rPr>
                <w:rFonts w:ascii="Cambria" w:eastAsia="Cambria" w:hAnsi="Cambria" w:cs="Cambria"/>
                <w:sz w:val="24"/>
              </w:rPr>
              <w:t>6.</w:t>
            </w:r>
          </w:p>
          <w:p w:rsidR="00DC4DAA" w:rsidRDefault="00DC4DAA">
            <w:pPr>
              <w:pStyle w:val="normal0"/>
            </w:pPr>
          </w:p>
          <w:p w:rsidR="00DC4DAA" w:rsidRDefault="00DC4DAA">
            <w:pPr>
              <w:pStyle w:val="normal0"/>
            </w:pPr>
          </w:p>
          <w:p w:rsidR="00DC4DAA" w:rsidRDefault="00C423E9">
            <w:pPr>
              <w:pStyle w:val="normal0"/>
              <w:rPr>
                <w:rFonts w:ascii="Cambria" w:eastAsia="Cambria" w:hAnsi="Cambria" w:cs="Cambria"/>
                <w:sz w:val="24"/>
              </w:rPr>
            </w:pPr>
            <w:r>
              <w:rPr>
                <w:rFonts w:ascii="Cambria" w:eastAsia="Cambria" w:hAnsi="Cambria" w:cs="Cambria"/>
                <w:sz w:val="24"/>
              </w:rPr>
              <w:t>Vocabulary:</w:t>
            </w:r>
          </w:p>
          <w:p w:rsidR="00842157" w:rsidRDefault="00842157">
            <w:pPr>
              <w:pStyle w:val="normal0"/>
            </w:pPr>
          </w:p>
          <w:p w:rsidR="00DC4DAA" w:rsidRDefault="00DC4DAA">
            <w:pPr>
              <w:pStyle w:val="normal0"/>
            </w:pPr>
          </w:p>
          <w:p w:rsidR="00DC4DAA" w:rsidRDefault="00DC4DAA">
            <w:pPr>
              <w:pStyle w:val="normal0"/>
            </w:pPr>
          </w:p>
          <w:p w:rsidR="00DC4DAA" w:rsidRDefault="00C423E9">
            <w:pPr>
              <w:pStyle w:val="normal0"/>
            </w:pPr>
            <w:r>
              <w:rPr>
                <w:rFonts w:ascii="Cambria" w:eastAsia="Cambria" w:hAnsi="Cambria" w:cs="Cambria"/>
                <w:sz w:val="24"/>
              </w:rPr>
              <w:t>Effort Story/Information:</w:t>
            </w: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p w:rsidR="00DC4DAA" w:rsidRDefault="00DC4DAA">
            <w:pPr>
              <w:pStyle w:val="normal0"/>
            </w:pPr>
          </w:p>
        </w:tc>
        <w:tc>
          <w:tcPr>
            <w:tcW w:w="3240" w:type="dxa"/>
          </w:tcPr>
          <w:p w:rsidR="00DC4DAA" w:rsidRDefault="00DC4DAA">
            <w:pPr>
              <w:pStyle w:val="normal0"/>
            </w:pPr>
          </w:p>
        </w:tc>
      </w:tr>
      <w:tr w:rsidR="00DC4DAA">
        <w:tc>
          <w:tcPr>
            <w:tcW w:w="2700" w:type="dxa"/>
          </w:tcPr>
          <w:p w:rsidR="00DC4DAA" w:rsidRPr="00AB1B48" w:rsidRDefault="00C423E9">
            <w:pPr>
              <w:pStyle w:val="normal0"/>
              <w:rPr>
                <w:i/>
                <w:szCs w:val="22"/>
              </w:rPr>
            </w:pPr>
            <w:r>
              <w:rPr>
                <w:rFonts w:ascii="Cambria" w:eastAsia="Cambria" w:hAnsi="Cambria" w:cs="Cambria"/>
                <w:sz w:val="24"/>
              </w:rPr>
              <w:lastRenderedPageBreak/>
              <w:t>Formative Assessment(s):</w:t>
            </w:r>
            <w:r w:rsidR="00AB1B48">
              <w:rPr>
                <w:rFonts w:ascii="Cambria" w:eastAsia="Cambria" w:hAnsi="Cambria" w:cs="Cambria"/>
                <w:i/>
                <w:szCs w:val="22"/>
              </w:rPr>
              <w:t xml:space="preserve"> Forms of assessment that provide teachers with data/information on the extent to which students are progressing toward mastery of the unit outcomes (generalizations, content, and skills)</w:t>
            </w:r>
          </w:p>
        </w:tc>
        <w:tc>
          <w:tcPr>
            <w:tcW w:w="720" w:type="dxa"/>
            <w:tcMar>
              <w:left w:w="115" w:type="dxa"/>
              <w:right w:w="115" w:type="dxa"/>
            </w:tcMar>
          </w:tcPr>
          <w:p w:rsidR="00DC4DAA" w:rsidRDefault="00DC4DAA">
            <w:pPr>
              <w:pStyle w:val="normal0"/>
              <w:widowControl w:val="0"/>
              <w:spacing w:after="200" w:line="276" w:lineRule="auto"/>
            </w:pPr>
          </w:p>
        </w:tc>
        <w:tc>
          <w:tcPr>
            <w:tcW w:w="1440" w:type="dxa"/>
            <w:tcMar>
              <w:left w:w="115" w:type="dxa"/>
              <w:right w:w="115" w:type="dxa"/>
            </w:tcMar>
          </w:tcPr>
          <w:p w:rsidR="00DC4DAA" w:rsidRDefault="00DC4DAA">
            <w:pPr>
              <w:pStyle w:val="normal0"/>
              <w:widowControl w:val="0"/>
              <w:spacing w:after="200" w:line="276" w:lineRule="auto"/>
            </w:pPr>
          </w:p>
        </w:tc>
        <w:tc>
          <w:tcPr>
            <w:tcW w:w="1980" w:type="dxa"/>
            <w:tcMar>
              <w:left w:w="115" w:type="dxa"/>
              <w:right w:w="115" w:type="dxa"/>
            </w:tcMar>
          </w:tcPr>
          <w:p w:rsidR="00DC4DAA" w:rsidRDefault="00DC4DAA">
            <w:pPr>
              <w:pStyle w:val="normal0"/>
              <w:widowControl w:val="0"/>
              <w:spacing w:after="200" w:line="276" w:lineRule="auto"/>
            </w:pPr>
          </w:p>
        </w:tc>
        <w:tc>
          <w:tcPr>
            <w:tcW w:w="3690" w:type="dxa"/>
            <w:tcMar>
              <w:left w:w="115" w:type="dxa"/>
              <w:right w:w="115" w:type="dxa"/>
            </w:tcMar>
          </w:tcPr>
          <w:p w:rsidR="00DC4DAA" w:rsidRDefault="00DC4DAA">
            <w:pPr>
              <w:pStyle w:val="normal0"/>
              <w:widowControl w:val="0"/>
              <w:spacing w:after="200" w:line="276" w:lineRule="auto"/>
            </w:pPr>
          </w:p>
        </w:tc>
        <w:tc>
          <w:tcPr>
            <w:tcW w:w="3240" w:type="dxa"/>
            <w:tcMar>
              <w:left w:w="115" w:type="dxa"/>
              <w:right w:w="115" w:type="dxa"/>
            </w:tcMar>
          </w:tcPr>
          <w:p w:rsidR="00DC4DAA" w:rsidRDefault="00DC4DAA">
            <w:pPr>
              <w:pStyle w:val="normal0"/>
              <w:widowControl w:val="0"/>
              <w:spacing w:after="200" w:line="276" w:lineRule="auto"/>
            </w:pPr>
          </w:p>
        </w:tc>
      </w:tr>
    </w:tbl>
    <w:p w:rsidR="00DC4DAA" w:rsidRDefault="00DC4DAA">
      <w:pPr>
        <w:pStyle w:val="normal0"/>
      </w:pPr>
    </w:p>
    <w:p w:rsidR="00AB1B48" w:rsidRDefault="00AB1B48">
      <w:pPr>
        <w:pStyle w:val="normal0"/>
      </w:pPr>
    </w:p>
    <w:p w:rsidR="00AB1B48" w:rsidRDefault="00AB1B48">
      <w:pPr>
        <w:pStyle w:val="normal0"/>
      </w:pPr>
    </w:p>
    <w:p w:rsidR="00AB1B48" w:rsidRDefault="00AB1B48">
      <w:pPr>
        <w:pStyle w:val="normal0"/>
      </w:pPr>
    </w:p>
    <w:p w:rsidR="00AB1B48" w:rsidRDefault="00AB1B48">
      <w:pPr>
        <w:pStyle w:val="normal0"/>
      </w:pPr>
    </w:p>
    <w:p w:rsidR="00AB1B48" w:rsidRDefault="00AB1B48">
      <w:pPr>
        <w:pStyle w:val="normal0"/>
      </w:pPr>
    </w:p>
    <w:p w:rsidR="00AB1B48" w:rsidRDefault="00AB1B48">
      <w:pPr>
        <w:pStyle w:val="normal0"/>
      </w:pPr>
    </w:p>
    <w:p w:rsidR="00AB1B48" w:rsidRDefault="00AB1B48">
      <w:pPr>
        <w:pStyle w:val="normal0"/>
      </w:pPr>
    </w:p>
    <w:p w:rsidR="00AB1B48" w:rsidRDefault="00AB1B48">
      <w:pPr>
        <w:pStyle w:val="normal0"/>
      </w:pPr>
    </w:p>
    <w:sectPr w:rsidR="00AB1B48" w:rsidSect="00DC4DAA">
      <w:footerReference w:type="default" r:id="rId12"/>
      <w:pgSz w:w="15840" w:h="122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78" w:rsidRDefault="00FE3C78" w:rsidP="00DC4DAA">
      <w:pPr>
        <w:spacing w:after="0" w:line="240" w:lineRule="auto"/>
      </w:pPr>
      <w:r>
        <w:separator/>
      </w:r>
    </w:p>
  </w:endnote>
  <w:endnote w:type="continuationSeparator" w:id="0">
    <w:p w:rsidR="00FE3C78" w:rsidRDefault="00FE3C78" w:rsidP="00DC4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A" w:rsidRDefault="00C423E9">
    <w:pPr>
      <w:pStyle w:val="normal0"/>
      <w:tabs>
        <w:tab w:val="center" w:pos="4680"/>
        <w:tab w:val="right" w:pos="9360"/>
      </w:tabs>
      <w:spacing w:after="0" w:line="240" w:lineRule="auto"/>
    </w:pPr>
    <w:r>
      <w:rPr>
        <w:rFonts w:ascii="Cambria" w:eastAsia="Cambria" w:hAnsi="Cambria" w:cs="Cambria"/>
      </w:rPr>
      <w:t xml:space="preserve">Weld RE-1 Unit/Weekly Planning </w:t>
    </w:r>
    <w:r w:rsidR="001A7780">
      <w:rPr>
        <w:rFonts w:ascii="Cambria" w:eastAsia="Cambria" w:hAnsi="Cambria" w:cs="Cambria"/>
      </w:rPr>
      <w:t>Template Page</w:t>
    </w:r>
    <w:r>
      <w:rPr>
        <w:rFonts w:ascii="Cambria" w:eastAsia="Cambria" w:hAnsi="Cambria" w:cs="Cambria"/>
      </w:rPr>
      <w:t xml:space="preserve"> </w:t>
    </w:r>
    <w:r w:rsidR="0073234B">
      <w:fldChar w:fldCharType="begin"/>
    </w:r>
    <w:r w:rsidR="00C40AFB">
      <w:instrText>PAGE</w:instrText>
    </w:r>
    <w:r w:rsidR="0073234B">
      <w:fldChar w:fldCharType="separate"/>
    </w:r>
    <w:r w:rsidR="002C607F">
      <w:rPr>
        <w:noProof/>
      </w:rPr>
      <w:t>6</w:t>
    </w:r>
    <w:r w:rsidR="0073234B">
      <w:rPr>
        <w:noProof/>
      </w:rPr>
      <w:fldChar w:fldCharType="end"/>
    </w:r>
  </w:p>
  <w:p w:rsidR="00DC4DAA" w:rsidRDefault="00DC4DAA">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78" w:rsidRDefault="00FE3C78" w:rsidP="00DC4DAA">
      <w:pPr>
        <w:spacing w:after="0" w:line="240" w:lineRule="auto"/>
      </w:pPr>
      <w:r>
        <w:separator/>
      </w:r>
    </w:p>
  </w:footnote>
  <w:footnote w:type="continuationSeparator" w:id="0">
    <w:p w:rsidR="00FE3C78" w:rsidRDefault="00FE3C78" w:rsidP="00DC4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644"/>
    <w:multiLevelType w:val="hybridMultilevel"/>
    <w:tmpl w:val="9630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16705"/>
    <w:multiLevelType w:val="hybridMultilevel"/>
    <w:tmpl w:val="E35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950F2"/>
    <w:multiLevelType w:val="hybridMultilevel"/>
    <w:tmpl w:val="E26A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rsids>
    <w:rsidRoot w:val="00DC4DAA"/>
    <w:rsid w:val="000068CC"/>
    <w:rsid w:val="001146ED"/>
    <w:rsid w:val="001A7780"/>
    <w:rsid w:val="00292EAA"/>
    <w:rsid w:val="002C607F"/>
    <w:rsid w:val="00316B48"/>
    <w:rsid w:val="00376A20"/>
    <w:rsid w:val="003B39A6"/>
    <w:rsid w:val="003E237F"/>
    <w:rsid w:val="004A34C1"/>
    <w:rsid w:val="004A36DD"/>
    <w:rsid w:val="00513208"/>
    <w:rsid w:val="00540F65"/>
    <w:rsid w:val="005A5AC8"/>
    <w:rsid w:val="00603059"/>
    <w:rsid w:val="00651C21"/>
    <w:rsid w:val="006537F1"/>
    <w:rsid w:val="00680DBD"/>
    <w:rsid w:val="0073234B"/>
    <w:rsid w:val="00734CA8"/>
    <w:rsid w:val="00750F12"/>
    <w:rsid w:val="00752E8F"/>
    <w:rsid w:val="007D37CA"/>
    <w:rsid w:val="00842157"/>
    <w:rsid w:val="00980735"/>
    <w:rsid w:val="00A52D56"/>
    <w:rsid w:val="00AB1B48"/>
    <w:rsid w:val="00C40AFB"/>
    <w:rsid w:val="00C423E9"/>
    <w:rsid w:val="00CB5812"/>
    <w:rsid w:val="00DB0575"/>
    <w:rsid w:val="00DC4DAA"/>
    <w:rsid w:val="00E4553A"/>
    <w:rsid w:val="00F22F36"/>
    <w:rsid w:val="00FC15C1"/>
    <w:rsid w:val="00FE3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35"/>
  </w:style>
  <w:style w:type="paragraph" w:styleId="Heading1">
    <w:name w:val="heading 1"/>
    <w:basedOn w:val="normal0"/>
    <w:next w:val="normal0"/>
    <w:rsid w:val="00DC4DAA"/>
    <w:pPr>
      <w:keepNext/>
      <w:keepLines/>
      <w:spacing w:before="480" w:after="120"/>
      <w:contextualSpacing/>
      <w:outlineLvl w:val="0"/>
    </w:pPr>
    <w:rPr>
      <w:b/>
      <w:sz w:val="48"/>
    </w:rPr>
  </w:style>
  <w:style w:type="paragraph" w:styleId="Heading2">
    <w:name w:val="heading 2"/>
    <w:basedOn w:val="normal0"/>
    <w:next w:val="normal0"/>
    <w:rsid w:val="00DC4DAA"/>
    <w:pPr>
      <w:keepNext/>
      <w:keepLines/>
      <w:spacing w:before="360" w:after="80"/>
      <w:contextualSpacing/>
      <w:outlineLvl w:val="1"/>
    </w:pPr>
    <w:rPr>
      <w:b/>
      <w:sz w:val="36"/>
    </w:rPr>
  </w:style>
  <w:style w:type="paragraph" w:styleId="Heading3">
    <w:name w:val="heading 3"/>
    <w:basedOn w:val="normal0"/>
    <w:next w:val="normal0"/>
    <w:rsid w:val="00DC4DAA"/>
    <w:pPr>
      <w:keepNext/>
      <w:keepLines/>
      <w:spacing w:before="280" w:after="80"/>
      <w:contextualSpacing/>
      <w:outlineLvl w:val="2"/>
    </w:pPr>
    <w:rPr>
      <w:b/>
      <w:sz w:val="28"/>
    </w:rPr>
  </w:style>
  <w:style w:type="paragraph" w:styleId="Heading4">
    <w:name w:val="heading 4"/>
    <w:basedOn w:val="normal0"/>
    <w:next w:val="normal0"/>
    <w:rsid w:val="00DC4DAA"/>
    <w:pPr>
      <w:keepNext/>
      <w:keepLines/>
      <w:spacing w:before="240" w:after="40"/>
      <w:contextualSpacing/>
      <w:outlineLvl w:val="3"/>
    </w:pPr>
    <w:rPr>
      <w:b/>
      <w:sz w:val="24"/>
    </w:rPr>
  </w:style>
  <w:style w:type="paragraph" w:styleId="Heading5">
    <w:name w:val="heading 5"/>
    <w:basedOn w:val="normal0"/>
    <w:next w:val="normal0"/>
    <w:rsid w:val="00DC4DAA"/>
    <w:pPr>
      <w:keepNext/>
      <w:keepLines/>
      <w:spacing w:before="220" w:after="40"/>
      <w:contextualSpacing/>
      <w:outlineLvl w:val="4"/>
    </w:pPr>
    <w:rPr>
      <w:b/>
    </w:rPr>
  </w:style>
  <w:style w:type="paragraph" w:styleId="Heading6">
    <w:name w:val="heading 6"/>
    <w:basedOn w:val="normal0"/>
    <w:next w:val="normal0"/>
    <w:rsid w:val="00DC4DA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4DAA"/>
  </w:style>
  <w:style w:type="paragraph" w:styleId="Title">
    <w:name w:val="Title"/>
    <w:basedOn w:val="normal0"/>
    <w:next w:val="normal0"/>
    <w:rsid w:val="00DC4DAA"/>
    <w:pPr>
      <w:keepNext/>
      <w:keepLines/>
      <w:spacing w:after="300" w:line="240" w:lineRule="auto"/>
    </w:pPr>
    <w:rPr>
      <w:rFonts w:ascii="Cambria" w:eastAsia="Cambria" w:hAnsi="Cambria" w:cs="Cambria"/>
      <w:b/>
      <w:color w:val="17365D"/>
      <w:sz w:val="52"/>
    </w:rPr>
  </w:style>
  <w:style w:type="paragraph" w:styleId="Subtitle">
    <w:name w:val="Subtitle"/>
    <w:basedOn w:val="normal0"/>
    <w:next w:val="normal0"/>
    <w:rsid w:val="00DC4DAA"/>
    <w:pPr>
      <w:keepNext/>
      <w:keepLines/>
      <w:spacing w:before="360" w:after="80"/>
      <w:contextualSpacing/>
    </w:pPr>
    <w:rPr>
      <w:rFonts w:ascii="Georgia" w:eastAsia="Georgia" w:hAnsi="Georgia" w:cs="Georgia"/>
      <w:i/>
      <w:color w:val="666666"/>
      <w:sz w:val="48"/>
    </w:rPr>
  </w:style>
  <w:style w:type="table" w:customStyle="1" w:styleId="a">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C4DAA"/>
    <w:tblPr>
      <w:tblStyleRowBandSize w:val="1"/>
      <w:tblStyleColBandSize w:val="1"/>
      <w:tblInd w:w="0" w:type="dxa"/>
      <w:tblCellMar>
        <w:top w:w="58" w:type="dxa"/>
        <w:left w:w="115" w:type="dxa"/>
        <w:bottom w:w="58" w:type="dxa"/>
        <w:right w:w="115" w:type="dxa"/>
      </w:tblCellMar>
    </w:tblPr>
  </w:style>
  <w:style w:type="table" w:customStyle="1" w:styleId="a2">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1A7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780"/>
  </w:style>
  <w:style w:type="paragraph" w:styleId="Footer">
    <w:name w:val="footer"/>
    <w:basedOn w:val="Normal"/>
    <w:link w:val="FooterChar"/>
    <w:uiPriority w:val="99"/>
    <w:semiHidden/>
    <w:unhideWhenUsed/>
    <w:rsid w:val="001A7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780"/>
  </w:style>
  <w:style w:type="character" w:styleId="Hyperlink">
    <w:name w:val="Hyperlink"/>
    <w:basedOn w:val="DefaultParagraphFont"/>
    <w:uiPriority w:val="99"/>
    <w:semiHidden/>
    <w:unhideWhenUsed/>
    <w:rsid w:val="00540F65"/>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35"/>
  </w:style>
  <w:style w:type="paragraph" w:styleId="Heading1">
    <w:name w:val="heading 1"/>
    <w:basedOn w:val="normal0"/>
    <w:next w:val="normal0"/>
    <w:rsid w:val="00DC4DAA"/>
    <w:pPr>
      <w:keepNext/>
      <w:keepLines/>
      <w:spacing w:before="480" w:after="120"/>
      <w:contextualSpacing/>
      <w:outlineLvl w:val="0"/>
    </w:pPr>
    <w:rPr>
      <w:b/>
      <w:sz w:val="48"/>
    </w:rPr>
  </w:style>
  <w:style w:type="paragraph" w:styleId="Heading2">
    <w:name w:val="heading 2"/>
    <w:basedOn w:val="normal0"/>
    <w:next w:val="normal0"/>
    <w:rsid w:val="00DC4DAA"/>
    <w:pPr>
      <w:keepNext/>
      <w:keepLines/>
      <w:spacing w:before="360" w:after="80"/>
      <w:contextualSpacing/>
      <w:outlineLvl w:val="1"/>
    </w:pPr>
    <w:rPr>
      <w:b/>
      <w:sz w:val="36"/>
    </w:rPr>
  </w:style>
  <w:style w:type="paragraph" w:styleId="Heading3">
    <w:name w:val="heading 3"/>
    <w:basedOn w:val="normal0"/>
    <w:next w:val="normal0"/>
    <w:rsid w:val="00DC4DAA"/>
    <w:pPr>
      <w:keepNext/>
      <w:keepLines/>
      <w:spacing w:before="280" w:after="80"/>
      <w:contextualSpacing/>
      <w:outlineLvl w:val="2"/>
    </w:pPr>
    <w:rPr>
      <w:b/>
      <w:sz w:val="28"/>
    </w:rPr>
  </w:style>
  <w:style w:type="paragraph" w:styleId="Heading4">
    <w:name w:val="heading 4"/>
    <w:basedOn w:val="normal0"/>
    <w:next w:val="normal0"/>
    <w:rsid w:val="00DC4DAA"/>
    <w:pPr>
      <w:keepNext/>
      <w:keepLines/>
      <w:spacing w:before="240" w:after="40"/>
      <w:contextualSpacing/>
      <w:outlineLvl w:val="3"/>
    </w:pPr>
    <w:rPr>
      <w:b/>
      <w:sz w:val="24"/>
    </w:rPr>
  </w:style>
  <w:style w:type="paragraph" w:styleId="Heading5">
    <w:name w:val="heading 5"/>
    <w:basedOn w:val="normal0"/>
    <w:next w:val="normal0"/>
    <w:rsid w:val="00DC4DAA"/>
    <w:pPr>
      <w:keepNext/>
      <w:keepLines/>
      <w:spacing w:before="220" w:after="40"/>
      <w:contextualSpacing/>
      <w:outlineLvl w:val="4"/>
    </w:pPr>
    <w:rPr>
      <w:b/>
    </w:rPr>
  </w:style>
  <w:style w:type="paragraph" w:styleId="Heading6">
    <w:name w:val="heading 6"/>
    <w:basedOn w:val="normal0"/>
    <w:next w:val="normal0"/>
    <w:rsid w:val="00DC4DA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4DAA"/>
  </w:style>
  <w:style w:type="paragraph" w:styleId="Title">
    <w:name w:val="Title"/>
    <w:basedOn w:val="normal0"/>
    <w:next w:val="normal0"/>
    <w:rsid w:val="00DC4DAA"/>
    <w:pPr>
      <w:keepNext/>
      <w:keepLines/>
      <w:spacing w:after="300" w:line="240" w:lineRule="auto"/>
    </w:pPr>
    <w:rPr>
      <w:rFonts w:ascii="Cambria" w:eastAsia="Cambria" w:hAnsi="Cambria" w:cs="Cambria"/>
      <w:b/>
      <w:color w:val="17365D"/>
      <w:sz w:val="52"/>
    </w:rPr>
  </w:style>
  <w:style w:type="paragraph" w:styleId="Subtitle">
    <w:name w:val="Subtitle"/>
    <w:basedOn w:val="normal0"/>
    <w:next w:val="normal0"/>
    <w:rsid w:val="00DC4DAA"/>
    <w:pPr>
      <w:keepNext/>
      <w:keepLines/>
      <w:spacing w:before="360" w:after="80"/>
      <w:contextualSpacing/>
    </w:pPr>
    <w:rPr>
      <w:rFonts w:ascii="Georgia" w:eastAsia="Georgia" w:hAnsi="Georgia" w:cs="Georgia"/>
      <w:i/>
      <w:color w:val="666666"/>
      <w:sz w:val="48"/>
    </w:rPr>
  </w:style>
  <w:style w:type="table" w:customStyle="1" w:styleId="a">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C4DAA"/>
    <w:tblPr>
      <w:tblStyleRowBandSize w:val="1"/>
      <w:tblStyleColBandSize w:val="1"/>
      <w:tblInd w:w="0" w:type="dxa"/>
      <w:tblCellMar>
        <w:top w:w="58" w:type="dxa"/>
        <w:left w:w="115" w:type="dxa"/>
        <w:bottom w:w="58" w:type="dxa"/>
        <w:right w:w="115" w:type="dxa"/>
      </w:tblCellMar>
    </w:tblPr>
  </w:style>
  <w:style w:type="table" w:customStyle="1" w:styleId="a2">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DC4DAA"/>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1A7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780"/>
  </w:style>
  <w:style w:type="paragraph" w:styleId="Footer">
    <w:name w:val="footer"/>
    <w:basedOn w:val="Normal"/>
    <w:link w:val="FooterChar"/>
    <w:uiPriority w:val="99"/>
    <w:semiHidden/>
    <w:unhideWhenUsed/>
    <w:rsid w:val="001A7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780"/>
  </w:style>
  <w:style w:type="character" w:styleId="Hyperlink">
    <w:name w:val="Hyperlink"/>
    <w:basedOn w:val="DefaultParagraphFont"/>
    <w:uiPriority w:val="99"/>
    <w:semiHidden/>
    <w:unhideWhenUsed/>
    <w:rsid w:val="00540F65"/>
    <w:rPr>
      <w:color w:val="0563C1"/>
      <w:u w:val="single"/>
    </w:rPr>
  </w:style>
</w:styles>
</file>

<file path=word/webSettings.xml><?xml version="1.0" encoding="utf-8"?>
<w:webSettings xmlns:r="http://schemas.openxmlformats.org/officeDocument/2006/relationships" xmlns:w="http://schemas.openxmlformats.org/wordprocessingml/2006/main">
  <w:divs>
    <w:div w:id="708916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iLDMBDPC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dxtalks.ted.com/video/The-Power-of-Yet-|-Carol-S-Dwe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google.com/search?q=power+of+yet&amp;sourceid=ie7&amp;rls=com.microsoft:en-us:IE-Address&amp;ie=&amp;oe=&amp;gws_rd=ssl" TargetMode="External"/><Relationship Id="rId4" Type="http://schemas.openxmlformats.org/officeDocument/2006/relationships/settings" Target="settings.xml"/><Relationship Id="rId9" Type="http://schemas.openxmlformats.org/officeDocument/2006/relationships/hyperlink" Target="https://www.youtube.com/watch?v=qiLDMBDPC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B72FB-82C6-4841-A6A9-92CD0827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Weld RE-1 Unit Weekly Template.docx</vt:lpstr>
    </vt:vector>
  </TitlesOfParts>
  <Company>Weld Re-1</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 RE-1 Unit Weekly Template.docx</dc:title>
  <cp:lastModifiedBy>Mary Meersman</cp:lastModifiedBy>
  <cp:revision>3</cp:revision>
  <dcterms:created xsi:type="dcterms:W3CDTF">2015-06-01T16:20:00Z</dcterms:created>
  <dcterms:modified xsi:type="dcterms:W3CDTF">2015-06-01T16:20:00Z</dcterms:modified>
</cp:coreProperties>
</file>